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9336" w:type="dxa"/>
        <w:tblBorders>
          <w:top w:val="nil"/>
          <w:bottom w:val="nil"/>
          <w:insideH w:val="nil"/>
          <w:insideV w:val="nil"/>
        </w:tblBorders>
        <w:tblLayout w:type="fixed"/>
        <w:tblLook w:val="0400" w:firstRow="0" w:lastRow="0" w:firstColumn="0" w:lastColumn="0" w:noHBand="0" w:noVBand="1"/>
      </w:tblPr>
      <w:tblGrid>
        <w:gridCol w:w="3828"/>
        <w:gridCol w:w="5508"/>
      </w:tblGrid>
      <w:tr w:rsidR="00AB5551" w:rsidRPr="0095150D" w14:paraId="639722EB" w14:textId="77777777">
        <w:tc>
          <w:tcPr>
            <w:tcW w:w="3828" w:type="dxa"/>
            <w:tcBorders>
              <w:top w:val="nil"/>
              <w:left w:val="nil"/>
              <w:bottom w:val="nil"/>
              <w:right w:val="nil"/>
            </w:tcBorders>
            <w:tcMar>
              <w:top w:w="0" w:type="dxa"/>
              <w:left w:w="108" w:type="dxa"/>
              <w:bottom w:w="0" w:type="dxa"/>
              <w:right w:w="108" w:type="dxa"/>
            </w:tcMar>
          </w:tcPr>
          <w:p w14:paraId="6867824A" w14:textId="319B18BA" w:rsidR="00AB5551" w:rsidRPr="0095150D" w:rsidRDefault="00D12A7D">
            <w:pPr>
              <w:spacing w:before="120"/>
              <w:jc w:val="center"/>
              <w:rPr>
                <w:lang w:val="en-US"/>
              </w:rPr>
            </w:pPr>
            <w:r w:rsidRPr="0095150D">
              <w:t>BỘ GIÁO DỤC VÀ ĐÀO TẠO</w:t>
            </w:r>
            <w:r w:rsidRPr="0095150D">
              <w:br/>
            </w:r>
            <w:r w:rsidRPr="0095150D">
              <w:rPr>
                <w:b/>
              </w:rPr>
              <w:t>TRƯỜNG ĐẠI HỌC MỞ HÀ NỘI</w:t>
            </w:r>
            <w:r w:rsidRPr="0095150D">
              <w:rPr>
                <w:b/>
              </w:rPr>
              <w:br/>
              <w:t>-------</w:t>
            </w:r>
            <w:r w:rsidRPr="0095150D">
              <w:rPr>
                <w:b/>
                <w:lang w:val="en-US"/>
              </w:rPr>
              <w:t>------------------------</w:t>
            </w:r>
          </w:p>
        </w:tc>
        <w:tc>
          <w:tcPr>
            <w:tcW w:w="5508" w:type="dxa"/>
            <w:tcBorders>
              <w:top w:val="nil"/>
              <w:left w:val="nil"/>
              <w:bottom w:val="nil"/>
              <w:right w:val="nil"/>
            </w:tcBorders>
            <w:tcMar>
              <w:top w:w="0" w:type="dxa"/>
              <w:left w:w="108" w:type="dxa"/>
              <w:bottom w:w="0" w:type="dxa"/>
              <w:right w:w="108" w:type="dxa"/>
            </w:tcMar>
          </w:tcPr>
          <w:p w14:paraId="65FE307D" w14:textId="77777777" w:rsidR="00AB5551" w:rsidRPr="0095150D" w:rsidRDefault="00D12A7D">
            <w:pPr>
              <w:spacing w:before="120"/>
              <w:jc w:val="center"/>
            </w:pPr>
            <w:r w:rsidRPr="0095150D">
              <w:t> </w:t>
            </w:r>
          </w:p>
        </w:tc>
      </w:tr>
    </w:tbl>
    <w:p w14:paraId="45F3B8D4" w14:textId="4FB7CE69" w:rsidR="00AB5551" w:rsidRPr="0095150D" w:rsidRDefault="00D12A7D" w:rsidP="00D12A7D">
      <w:pPr>
        <w:spacing w:before="120" w:after="280"/>
        <w:jc w:val="center"/>
        <w:rPr>
          <w:sz w:val="26"/>
          <w:szCs w:val="26"/>
        </w:rPr>
      </w:pPr>
      <w:r w:rsidRPr="0095150D">
        <w:rPr>
          <w:b/>
          <w:sz w:val="26"/>
          <w:szCs w:val="26"/>
        </w:rPr>
        <w:t>THÔNG TIN KẾT QUẢ NGHIÊN CỨU</w:t>
      </w:r>
    </w:p>
    <w:p w14:paraId="32066626" w14:textId="77777777" w:rsidR="00AB5551" w:rsidRPr="0095150D" w:rsidRDefault="00D12A7D" w:rsidP="004F4152">
      <w:pPr>
        <w:spacing w:before="120" w:line="276" w:lineRule="auto"/>
        <w:rPr>
          <w:sz w:val="26"/>
          <w:szCs w:val="26"/>
        </w:rPr>
      </w:pPr>
      <w:r w:rsidRPr="0095150D">
        <w:rPr>
          <w:b/>
          <w:sz w:val="26"/>
          <w:szCs w:val="26"/>
        </w:rPr>
        <w:t>1. Thông tin chung:</w:t>
      </w:r>
    </w:p>
    <w:p w14:paraId="3A897E12" w14:textId="27C9AB85" w:rsidR="00AB5551" w:rsidRPr="0095150D" w:rsidRDefault="007D12C1" w:rsidP="006440CC">
      <w:pPr>
        <w:spacing w:line="360" w:lineRule="auto"/>
        <w:jc w:val="both"/>
        <w:rPr>
          <w:sz w:val="26"/>
          <w:szCs w:val="26"/>
        </w:rPr>
      </w:pPr>
      <w:r w:rsidRPr="0095150D">
        <w:rPr>
          <w:sz w:val="26"/>
          <w:szCs w:val="26"/>
        </w:rPr>
        <w:t>- Tên đề tài:</w:t>
      </w:r>
      <w:r w:rsidR="006440CC" w:rsidRPr="0095150D">
        <w:rPr>
          <w:sz w:val="26"/>
          <w:szCs w:val="26"/>
        </w:rPr>
        <w:t xml:space="preserve"> </w:t>
      </w:r>
      <w:r w:rsidR="006440CC" w:rsidRPr="0095150D">
        <w:rPr>
          <w:color w:val="000000" w:themeColor="text1"/>
          <w:sz w:val="26"/>
          <w:szCs w:val="26"/>
        </w:rPr>
        <w:t>Nghiên cứu giải pháp nâng cao hiệu quả hoạt động kinh doanh của các công ty chứng khoán tại thị trường Việt Nam trong giai đoạn hiện nay.</w:t>
      </w:r>
    </w:p>
    <w:p w14:paraId="47B65034" w14:textId="06FFF534" w:rsidR="00AB5551" w:rsidRPr="0095150D" w:rsidRDefault="00D12A7D" w:rsidP="004F4152">
      <w:pPr>
        <w:spacing w:before="120" w:line="276" w:lineRule="auto"/>
        <w:rPr>
          <w:sz w:val="26"/>
          <w:szCs w:val="26"/>
        </w:rPr>
      </w:pPr>
      <w:r w:rsidRPr="0095150D">
        <w:rPr>
          <w:sz w:val="26"/>
          <w:szCs w:val="26"/>
        </w:rPr>
        <w:t xml:space="preserve">- Mã số: </w:t>
      </w:r>
      <w:r w:rsidR="006440CC" w:rsidRPr="0095150D">
        <w:rPr>
          <w:bCs/>
          <w:color w:val="000000" w:themeColor="text1"/>
        </w:rPr>
        <w:t>MHN2025-02.2</w:t>
      </w:r>
      <w:r w:rsidR="006440CC" w:rsidRPr="0095150D">
        <w:rPr>
          <w:bCs/>
          <w:color w:val="000000" w:themeColor="text1"/>
          <w:lang w:val="en-US"/>
        </w:rPr>
        <w:t>8</w:t>
      </w:r>
    </w:p>
    <w:p w14:paraId="382FC8A9" w14:textId="32E46F14" w:rsidR="00AB5551" w:rsidRPr="0095150D" w:rsidRDefault="00D12A7D" w:rsidP="004F4152">
      <w:pPr>
        <w:spacing w:before="120" w:line="276" w:lineRule="auto"/>
        <w:rPr>
          <w:sz w:val="26"/>
          <w:szCs w:val="26"/>
        </w:rPr>
      </w:pPr>
      <w:r w:rsidRPr="0095150D">
        <w:rPr>
          <w:sz w:val="26"/>
          <w:szCs w:val="26"/>
        </w:rPr>
        <w:t xml:space="preserve">- Chủ nhiệm đề tài: </w:t>
      </w:r>
      <w:r w:rsidR="006440CC" w:rsidRPr="0095150D">
        <w:rPr>
          <w:sz w:val="26"/>
          <w:szCs w:val="26"/>
        </w:rPr>
        <w:t xml:space="preserve">TS. </w:t>
      </w:r>
      <w:r w:rsidR="006440CC" w:rsidRPr="0095150D">
        <w:rPr>
          <w:color w:val="000000" w:themeColor="text1"/>
          <w:sz w:val="26"/>
          <w:szCs w:val="26"/>
        </w:rPr>
        <w:t>Trần Văn Hải</w:t>
      </w:r>
    </w:p>
    <w:p w14:paraId="3F66899D" w14:textId="6FED50B8" w:rsidR="00AB5551" w:rsidRPr="0095150D" w:rsidRDefault="00D12A7D" w:rsidP="006440CC">
      <w:pPr>
        <w:spacing w:line="360" w:lineRule="auto"/>
        <w:rPr>
          <w:sz w:val="26"/>
          <w:szCs w:val="26"/>
        </w:rPr>
      </w:pPr>
      <w:r w:rsidRPr="0095150D">
        <w:rPr>
          <w:sz w:val="26"/>
          <w:szCs w:val="26"/>
        </w:rPr>
        <w:t xml:space="preserve">- Thời gian thực hiện: </w:t>
      </w:r>
      <w:r w:rsidR="006440CC" w:rsidRPr="0095150D">
        <w:rPr>
          <w:sz w:val="26"/>
          <w:szCs w:val="26"/>
        </w:rPr>
        <w:t xml:space="preserve">12 tháng, </w:t>
      </w:r>
      <w:r w:rsidR="006440CC" w:rsidRPr="0095150D">
        <w:rPr>
          <w:color w:val="000000" w:themeColor="text1"/>
          <w:sz w:val="26"/>
          <w:szCs w:val="26"/>
        </w:rPr>
        <w:t>từ tháng 01 năm 2025 đến tháng 12 năm 2025</w:t>
      </w:r>
    </w:p>
    <w:p w14:paraId="5BBA3130" w14:textId="77777777" w:rsidR="00AB5551" w:rsidRPr="0095150D" w:rsidRDefault="00D12A7D" w:rsidP="004F4152">
      <w:pPr>
        <w:spacing w:before="120" w:line="276" w:lineRule="auto"/>
        <w:rPr>
          <w:b/>
          <w:sz w:val="26"/>
          <w:szCs w:val="26"/>
          <w:lang w:val="en-US"/>
        </w:rPr>
      </w:pPr>
      <w:r w:rsidRPr="0095150D">
        <w:rPr>
          <w:b/>
          <w:sz w:val="26"/>
          <w:szCs w:val="26"/>
        </w:rPr>
        <w:t xml:space="preserve">2. Mục tiêu: </w:t>
      </w:r>
    </w:p>
    <w:p w14:paraId="7463E3B3" w14:textId="77777777" w:rsidR="006440CC" w:rsidRPr="0095150D" w:rsidRDefault="006440CC" w:rsidP="006440CC">
      <w:pPr>
        <w:widowControl w:val="0"/>
        <w:spacing w:line="360" w:lineRule="auto"/>
        <w:ind w:firstLine="720"/>
        <w:jc w:val="both"/>
        <w:rPr>
          <w:bCs/>
          <w:color w:val="000000" w:themeColor="text1"/>
          <w:sz w:val="26"/>
          <w:szCs w:val="26"/>
        </w:rPr>
      </w:pPr>
      <w:r w:rsidRPr="0095150D">
        <w:rPr>
          <w:bCs/>
          <w:i/>
          <w:iCs/>
          <w:color w:val="000000" w:themeColor="text1"/>
          <w:sz w:val="26"/>
          <w:szCs w:val="26"/>
        </w:rPr>
        <w:t>Mục tiêu chung</w:t>
      </w:r>
      <w:r w:rsidRPr="0095150D">
        <w:rPr>
          <w:bCs/>
          <w:color w:val="000000" w:themeColor="text1"/>
          <w:sz w:val="26"/>
          <w:szCs w:val="26"/>
        </w:rPr>
        <w:t xml:space="preserve">: Hệ thống cơ sở lý luận về hiệu quả hoạt động kinh doanh (HQHĐKD) của công ty chứng khoán (CTCK), đánh giá </w:t>
      </w:r>
      <w:r w:rsidRPr="0095150D">
        <w:rPr>
          <w:bCs/>
          <w:sz w:val="26"/>
          <w:szCs w:val="26"/>
        </w:rPr>
        <w:t>thực trạng về HQHĐKD của các CTCK tại thị trường Việt Nam và đề xuất các giải pháp nhằm nâng cao HQHĐKD cho các CTCK trong thời gian tới.</w:t>
      </w:r>
    </w:p>
    <w:p w14:paraId="37235120" w14:textId="77777777" w:rsidR="006440CC" w:rsidRPr="0095150D" w:rsidRDefault="006440CC" w:rsidP="006440CC">
      <w:pPr>
        <w:widowControl w:val="0"/>
        <w:spacing w:line="360" w:lineRule="auto"/>
        <w:ind w:firstLine="720"/>
        <w:rPr>
          <w:bCs/>
          <w:color w:val="000000" w:themeColor="text1"/>
          <w:sz w:val="26"/>
          <w:szCs w:val="26"/>
        </w:rPr>
      </w:pPr>
      <w:r w:rsidRPr="0095150D">
        <w:rPr>
          <w:bCs/>
          <w:i/>
          <w:iCs/>
          <w:color w:val="000000" w:themeColor="text1"/>
          <w:sz w:val="26"/>
          <w:szCs w:val="26"/>
        </w:rPr>
        <w:t>Mục tiêu cụ thể</w:t>
      </w:r>
      <w:r w:rsidRPr="0095150D">
        <w:rPr>
          <w:bCs/>
          <w:color w:val="000000" w:themeColor="text1"/>
          <w:sz w:val="26"/>
          <w:szCs w:val="26"/>
        </w:rPr>
        <w:t>:</w:t>
      </w:r>
    </w:p>
    <w:p w14:paraId="60EBFF48" w14:textId="77777777" w:rsidR="006440CC" w:rsidRPr="0095150D" w:rsidRDefault="006440CC" w:rsidP="006440CC">
      <w:pPr>
        <w:widowControl w:val="0"/>
        <w:spacing w:line="360" w:lineRule="auto"/>
        <w:ind w:firstLine="720"/>
        <w:jc w:val="both"/>
        <w:rPr>
          <w:bCs/>
          <w:sz w:val="26"/>
          <w:szCs w:val="26"/>
        </w:rPr>
      </w:pPr>
      <w:r w:rsidRPr="0095150D">
        <w:rPr>
          <w:bCs/>
          <w:sz w:val="26"/>
          <w:szCs w:val="26"/>
        </w:rPr>
        <w:t>Một là, hệ thống hóa những lý luận cơ bản về HQHĐKD của các CTCK.</w:t>
      </w:r>
    </w:p>
    <w:p w14:paraId="58AD5202" w14:textId="77777777" w:rsidR="006440CC" w:rsidRPr="0095150D" w:rsidRDefault="006440CC" w:rsidP="006440CC">
      <w:pPr>
        <w:widowControl w:val="0"/>
        <w:spacing w:line="360" w:lineRule="auto"/>
        <w:ind w:firstLine="720"/>
        <w:jc w:val="both"/>
        <w:rPr>
          <w:bCs/>
          <w:sz w:val="26"/>
          <w:szCs w:val="26"/>
        </w:rPr>
      </w:pPr>
      <w:r w:rsidRPr="0095150D">
        <w:rPr>
          <w:bCs/>
          <w:sz w:val="26"/>
          <w:szCs w:val="26"/>
        </w:rPr>
        <w:t>Hai là, đánh giá thực trạng HQHĐKD của các CTCK tại thị trường Việt Nam giai đoạn 2022-2024.</w:t>
      </w:r>
    </w:p>
    <w:p w14:paraId="0568FE30" w14:textId="28FB5C05" w:rsidR="005943A5" w:rsidRPr="0095150D" w:rsidRDefault="006440CC" w:rsidP="006440CC">
      <w:pPr>
        <w:widowControl w:val="0"/>
        <w:spacing w:line="360" w:lineRule="auto"/>
        <w:ind w:firstLine="720"/>
        <w:jc w:val="both"/>
        <w:rPr>
          <w:bCs/>
          <w:sz w:val="26"/>
          <w:szCs w:val="26"/>
        </w:rPr>
      </w:pPr>
      <w:r w:rsidRPr="0095150D">
        <w:rPr>
          <w:bCs/>
          <w:sz w:val="26"/>
          <w:szCs w:val="26"/>
        </w:rPr>
        <w:t xml:space="preserve">Ba là, Đề xuất các giải pháp nâng cao HQHĐKD của các CTCK tại thị trường Việt Nam, đặc biệt trong bối cảnh thị trường chứng khoán (TTCK) đã được nâng hạng từ hạng cận biên lên hạng thị trường mới nổi thứ cấp, thực hiện theo đúng tầm nhìn, chiến lược </w:t>
      </w:r>
      <w:r w:rsidRPr="0095150D">
        <w:rPr>
          <w:sz w:val="26"/>
          <w:szCs w:val="26"/>
        </w:rPr>
        <w:t>số 1726/QĐ-TTg ngày 29/12/2023 của Thủ tướng Chính phủ về việc “</w:t>
      </w:r>
      <w:r w:rsidRPr="0095150D">
        <w:rPr>
          <w:i/>
          <w:iCs/>
          <w:sz w:val="26"/>
          <w:szCs w:val="26"/>
        </w:rPr>
        <w:t>Phê duyệt chiến lược phát triển thị trường chứng khoán Việt Nam đến năm 2030</w:t>
      </w:r>
      <w:r w:rsidRPr="0095150D">
        <w:rPr>
          <w:sz w:val="26"/>
          <w:szCs w:val="26"/>
        </w:rPr>
        <w:t>”</w:t>
      </w:r>
      <w:r w:rsidRPr="0095150D">
        <w:rPr>
          <w:bCs/>
          <w:sz w:val="26"/>
          <w:szCs w:val="26"/>
        </w:rPr>
        <w:t>.</w:t>
      </w:r>
    </w:p>
    <w:p w14:paraId="6B76781C" w14:textId="77777777" w:rsidR="00AB5551" w:rsidRPr="0095150D" w:rsidRDefault="00D12A7D" w:rsidP="004F4152">
      <w:pPr>
        <w:spacing w:before="120" w:line="276" w:lineRule="auto"/>
        <w:rPr>
          <w:b/>
          <w:sz w:val="26"/>
          <w:szCs w:val="26"/>
        </w:rPr>
      </w:pPr>
      <w:r w:rsidRPr="0095150D">
        <w:rPr>
          <w:b/>
          <w:sz w:val="26"/>
          <w:szCs w:val="26"/>
        </w:rPr>
        <w:t>3. Tính mới và sáng tạo:</w:t>
      </w:r>
    </w:p>
    <w:p w14:paraId="074CD114" w14:textId="77777777" w:rsidR="006440CC" w:rsidRPr="0095150D" w:rsidRDefault="006440CC" w:rsidP="006440CC">
      <w:pPr>
        <w:pStyle w:val="ListParagraph"/>
        <w:tabs>
          <w:tab w:val="left" w:pos="720"/>
        </w:tabs>
        <w:spacing w:line="360" w:lineRule="auto"/>
        <w:ind w:left="0"/>
        <w:contextualSpacing w:val="0"/>
        <w:jc w:val="both"/>
        <w:rPr>
          <w:sz w:val="26"/>
          <w:szCs w:val="26"/>
        </w:rPr>
      </w:pPr>
      <w:r w:rsidRPr="0095150D">
        <w:rPr>
          <w:sz w:val="26"/>
          <w:szCs w:val="26"/>
        </w:rPr>
        <w:t>Trên cơ sở kế thừa những thành tựu về lý luận và thực tiễn của các công trình khoa học về “</w:t>
      </w:r>
      <w:r w:rsidRPr="0095150D">
        <w:rPr>
          <w:i/>
          <w:iCs/>
          <w:color w:val="000000" w:themeColor="text1"/>
          <w:sz w:val="26"/>
          <w:szCs w:val="26"/>
        </w:rPr>
        <w:t>Nghiên cứu giải pháp nâng cao hiệu quả hoạt động kinh doanh của các công ty chứng khoán tại thị trường Việt Nam trong giai đoạn hiện nay</w:t>
      </w:r>
      <w:r w:rsidRPr="0095150D">
        <w:rPr>
          <w:color w:val="000000" w:themeColor="text1"/>
          <w:sz w:val="26"/>
          <w:szCs w:val="26"/>
        </w:rPr>
        <w:t>”</w:t>
      </w:r>
      <w:r w:rsidRPr="0095150D">
        <w:rPr>
          <w:sz w:val="26"/>
          <w:szCs w:val="26"/>
        </w:rPr>
        <w:t>, việc nghiên cứu đề tài có những đóng góp về mặt lý luận và thực tiễn như sau:</w:t>
      </w:r>
    </w:p>
    <w:p w14:paraId="28FD9268" w14:textId="77777777" w:rsidR="006440CC" w:rsidRPr="0095150D" w:rsidRDefault="006440CC" w:rsidP="006440CC">
      <w:pPr>
        <w:spacing w:line="360" w:lineRule="auto"/>
        <w:ind w:firstLine="720"/>
        <w:jc w:val="both"/>
        <w:rPr>
          <w:color w:val="000000"/>
          <w:sz w:val="26"/>
          <w:szCs w:val="26"/>
          <w:highlight w:val="yellow"/>
        </w:rPr>
      </w:pPr>
      <w:r w:rsidRPr="0095150D">
        <w:rPr>
          <w:color w:val="000000"/>
          <w:sz w:val="26"/>
          <w:szCs w:val="26"/>
        </w:rPr>
        <w:t xml:space="preserve">a. </w:t>
      </w:r>
      <w:r w:rsidRPr="0095150D">
        <w:rPr>
          <w:i/>
          <w:iCs/>
          <w:color w:val="000000"/>
          <w:sz w:val="26"/>
          <w:szCs w:val="26"/>
        </w:rPr>
        <w:t>Về lý luận</w:t>
      </w:r>
      <w:r w:rsidRPr="0095150D">
        <w:rPr>
          <w:color w:val="000000"/>
          <w:sz w:val="26"/>
          <w:szCs w:val="26"/>
        </w:rPr>
        <w:t xml:space="preserve">. Nghiên cứu đã đưa ra quan điểm về hiệu quả hoạt động kinh doanh của công ty chứng khoán. Nội hàm hiệu quả hoạt động kinh doanh của CTCK thể hiện ở hiệu quả kinh tế về năng lực hoạt động kinh doanh, hiệu quả kinh tế trong từng nghiệp vụ kinh doanh và hiệu quả về trách nhiệm xã hội doanh nghiệp của CTCK. Nghiên cứu </w:t>
      </w:r>
      <w:r w:rsidRPr="0095150D">
        <w:rPr>
          <w:color w:val="000000"/>
          <w:sz w:val="26"/>
          <w:szCs w:val="26"/>
        </w:rPr>
        <w:lastRenderedPageBreak/>
        <w:t>đã hoàn thiện các chỉ tiêu đánh giá hiệu quả hoạt động kinh doanh của công ty chứng khoán một cách toàn diện, triệt để đồng thời nghiên cứu các nhân tố ảnh hưởng đến hiệu quả hoạt động kinh doanh của công ty chứng khoán cũng như nhấn mạnh sự cần thiết phải nâng cao hiệu quả kinh doanh của công ty chứng khoán.</w:t>
      </w:r>
    </w:p>
    <w:p w14:paraId="22E664B8" w14:textId="77777777" w:rsidR="006440CC" w:rsidRPr="0095150D" w:rsidRDefault="006440CC" w:rsidP="006440CC">
      <w:pPr>
        <w:pBdr>
          <w:top w:val="nil"/>
          <w:left w:val="nil"/>
          <w:bottom w:val="nil"/>
          <w:right w:val="nil"/>
          <w:between w:val="nil"/>
        </w:pBdr>
        <w:spacing w:line="360" w:lineRule="auto"/>
        <w:ind w:firstLine="720"/>
        <w:jc w:val="both"/>
        <w:rPr>
          <w:bCs/>
          <w:color w:val="000000" w:themeColor="text1"/>
          <w:sz w:val="26"/>
          <w:szCs w:val="26"/>
        </w:rPr>
      </w:pPr>
      <w:r w:rsidRPr="0095150D">
        <w:rPr>
          <w:i/>
          <w:iCs/>
          <w:color w:val="000000"/>
          <w:sz w:val="26"/>
          <w:szCs w:val="26"/>
        </w:rPr>
        <w:t xml:space="preserve">b. Về thực tiễn. </w:t>
      </w:r>
      <w:r w:rsidRPr="0095150D">
        <w:rPr>
          <w:color w:val="000000"/>
          <w:sz w:val="26"/>
          <w:szCs w:val="26"/>
        </w:rPr>
        <w:t xml:space="preserve">Nghiên cứu đã đánh giá những kết quả đạt được và phân tích những mặt còn hạn chế, nguyên nhân dẫn đến hạn chế về hiệu quả kinh doanh của các CTCK Việt Nam trong giai đoạn 2022 – 2024, trên cơ sở các chỉ tiêu phản ánh hiệu quả kinh doanh của CTCK. Nghiên cứu đã chỉ ra các CTCK có hiệu quả kinh doanh cao và những công ty chứng khoán hiệu quả kinh doanh thấp. Một điểm mới nữa là nghiên cứu đã sử dụng mô hình hồi quy đa biến OLS, FEM, REM, GLS để kiểm định các nhân tố ảnh hưởng và mức độ tác động của chúng đến hiệu quả kinh doanh của các CTCK hoạt động tại thị trường Việt Nam. Qua đó, nghiên cứu đã đưa ra được mô hình về hiệu quả kinh doanh của các CTCK bị chi phối bởi 5 yếu tố thuộc bản thân CTCK. </w:t>
      </w:r>
      <w:r w:rsidRPr="0095150D">
        <w:rPr>
          <w:bCs/>
          <w:color w:val="000000" w:themeColor="text1"/>
          <w:sz w:val="26"/>
          <w:szCs w:val="26"/>
        </w:rPr>
        <w:t xml:space="preserve">: </w:t>
      </w:r>
      <w:r w:rsidRPr="0095150D">
        <w:rPr>
          <w:color w:val="000000" w:themeColor="text1"/>
          <w:sz w:val="26"/>
          <w:szCs w:val="26"/>
        </w:rPr>
        <w:t xml:space="preserve">Quy mô vốn (X1), Tỷ lệ vốn khả dụng (X2), Tăng trưởng GDP (X8) có ảnh hưởng tích cực. Trong khi đó, các nhân tố Cơ cấu vốn (X3) và Chi phí hoạt động (X5) có ảnh hưởng tiêu cực. </w:t>
      </w:r>
    </w:p>
    <w:p w14:paraId="7BB29E83" w14:textId="77777777" w:rsidR="006440CC" w:rsidRPr="0095150D" w:rsidRDefault="006440CC" w:rsidP="006440CC">
      <w:pPr>
        <w:spacing w:line="360" w:lineRule="auto"/>
        <w:ind w:firstLine="720"/>
        <w:jc w:val="both"/>
        <w:rPr>
          <w:color w:val="000000"/>
          <w:sz w:val="26"/>
          <w:szCs w:val="26"/>
        </w:rPr>
      </w:pPr>
      <w:r w:rsidRPr="0095150D">
        <w:rPr>
          <w:color w:val="000000"/>
          <w:sz w:val="26"/>
          <w:szCs w:val="26"/>
        </w:rPr>
        <w:t>Từ lý luận, thực trạng, kết quả kiểm định mô hình hồi quy, kết hợp với định hướng và chiến lược phát triển TTCK Việt Nam. Các tác giả đề xuất một số giải pháp nhằm nâng cao hiệu quả kinh doanh của các CTCK hoạt động tại thị trường Việt Nam, các giải pháp được cho là khả thi trong bối cảnh TTCK đã được nâng hạng từ thị trường cận biên lên thị trường mới nổi thứ cấp ngày 8/10/2025.</w:t>
      </w:r>
    </w:p>
    <w:p w14:paraId="647CFDAB" w14:textId="35A1E9E7" w:rsidR="00AB5551" w:rsidRPr="0095150D" w:rsidRDefault="00D12A7D" w:rsidP="004F4152">
      <w:pPr>
        <w:spacing w:before="120" w:line="276" w:lineRule="auto"/>
        <w:rPr>
          <w:b/>
          <w:color w:val="000000" w:themeColor="text1"/>
          <w:sz w:val="26"/>
          <w:szCs w:val="26"/>
          <w:lang w:val="en-US"/>
        </w:rPr>
      </w:pPr>
      <w:r w:rsidRPr="0095150D">
        <w:rPr>
          <w:b/>
          <w:color w:val="000000" w:themeColor="text1"/>
          <w:sz w:val="26"/>
          <w:szCs w:val="26"/>
        </w:rPr>
        <w:t>4. Kết quả nghiên cứu</w:t>
      </w:r>
      <w:r w:rsidR="004061FE" w:rsidRPr="0095150D">
        <w:rPr>
          <w:b/>
          <w:color w:val="000000" w:themeColor="text1"/>
          <w:sz w:val="26"/>
          <w:szCs w:val="26"/>
          <w:lang w:val="en-US"/>
        </w:rPr>
        <w:t>:</w:t>
      </w:r>
    </w:p>
    <w:p w14:paraId="5C0C71A4" w14:textId="77777777" w:rsidR="006440CC" w:rsidRPr="0095150D" w:rsidRDefault="006440CC" w:rsidP="006440CC">
      <w:pPr>
        <w:spacing w:line="360" w:lineRule="auto"/>
        <w:ind w:firstLine="720"/>
        <w:jc w:val="both"/>
        <w:rPr>
          <w:bCs/>
          <w:color w:val="000000" w:themeColor="text1"/>
          <w:sz w:val="26"/>
          <w:szCs w:val="26"/>
          <w:lang w:val="en-US"/>
        </w:rPr>
      </w:pPr>
      <w:r w:rsidRPr="0095150D">
        <w:rPr>
          <w:bCs/>
          <w:color w:val="000000" w:themeColor="text1"/>
          <w:sz w:val="26"/>
          <w:szCs w:val="26"/>
          <w:lang w:val="en-US"/>
        </w:rPr>
        <w:t xml:space="preserve">Qua việc nghiên cứu đề tài “Nghiên cứu giải pháp nâng cao HQHĐKD của các CTCK tại thị trường Việt Nam trong giai đoạn hiện nay”, nghiên cứu đã hệ thống làm rõ HQHĐKD của CTCK, nội hàm HQHĐKD của CTCK được thể hiện ở góc độ hiệu quả về kinh tế (về năng lực hoạt động kinh doanh và từng nghiệp vụ kinh doanh), hiệu quả về xã hội của CTCK, hệ thống các chỉ tiêu phản ánh HQHĐKD của CTCK, các nhân tố ảnh hưởng đến HQHĐKD của CTCK.  </w:t>
      </w:r>
    </w:p>
    <w:p w14:paraId="64707DA3" w14:textId="77777777" w:rsidR="006440CC" w:rsidRPr="0095150D" w:rsidRDefault="006440CC" w:rsidP="006440CC">
      <w:pPr>
        <w:spacing w:line="360" w:lineRule="auto"/>
        <w:ind w:firstLine="720"/>
        <w:jc w:val="both"/>
        <w:rPr>
          <w:bCs/>
          <w:color w:val="000000" w:themeColor="text1"/>
          <w:sz w:val="26"/>
          <w:szCs w:val="26"/>
          <w:lang w:val="en-US"/>
        </w:rPr>
      </w:pPr>
      <w:r w:rsidRPr="0095150D">
        <w:rPr>
          <w:bCs/>
          <w:color w:val="000000" w:themeColor="text1"/>
          <w:sz w:val="26"/>
          <w:szCs w:val="26"/>
          <w:lang w:val="en-US"/>
        </w:rPr>
        <w:t xml:space="preserve">Dựa trên nền tảng cơ sở lý luận, nghiên cứu đã đánh giá thực trạng HQHĐKD của các CTCK tại trường Việt Nam giai đoạn 2022-2024, qua đó đã chỉ ra những kết quả đạt được, những hạn chế và nguyên nhân. Trong đó có nguyên nhân từ nhân tố môi trường vĩ mô và nguyên nhân từ bản thân của CTCK. Kết quả kiểm định mô hình kinh tế lượng các nhân tố (thuộc CTCK) ảnh hưởng đến HQHĐKD của CTCK đã chỉ ra các nhân tố Quy mô vốn (X1), Tỷ lệ vốn khả dụng (X2), Tăng trưởng GDP (X8) có ảnh </w:t>
      </w:r>
      <w:r w:rsidRPr="0095150D">
        <w:rPr>
          <w:bCs/>
          <w:color w:val="000000" w:themeColor="text1"/>
          <w:sz w:val="26"/>
          <w:szCs w:val="26"/>
          <w:lang w:val="en-US"/>
        </w:rPr>
        <w:lastRenderedPageBreak/>
        <w:t xml:space="preserve">hưởng tích cực. Trong khi đó, các nhân tố Cơ cấu vốn (X3) và Chi phí hoạt động (X5) có ảnh hưởng tiêu cực. </w:t>
      </w:r>
    </w:p>
    <w:p w14:paraId="4A90C6FB" w14:textId="77777777" w:rsidR="006440CC" w:rsidRPr="0095150D" w:rsidRDefault="006440CC" w:rsidP="006440CC">
      <w:pPr>
        <w:spacing w:line="360" w:lineRule="auto"/>
        <w:ind w:firstLine="720"/>
        <w:jc w:val="both"/>
        <w:rPr>
          <w:bCs/>
          <w:color w:val="000000" w:themeColor="text1"/>
          <w:sz w:val="26"/>
          <w:szCs w:val="26"/>
          <w:lang w:val="en-US"/>
        </w:rPr>
      </w:pPr>
      <w:r w:rsidRPr="0095150D">
        <w:rPr>
          <w:bCs/>
          <w:color w:val="000000" w:themeColor="text1"/>
          <w:sz w:val="26"/>
          <w:szCs w:val="26"/>
          <w:lang w:val="en-US"/>
        </w:rPr>
        <w:t>Từ chiến lược phát triển thị trường chứng khoán Việt Nam đến năm 2030, nghiên cứu đã đề xuất một số giải pháp nhằm nâng cao HQHĐKD của các CTCK tại thị trường Việt Nam trong thời gian tới, trong bối cảnh TTCK đã được nâng hạng từ thị trường cận biên lên thị trường mới nổi thứ cấp. Các giải pháp đã đề xuất nhìn chung có tính khoa học và thực tiễn.</w:t>
      </w:r>
    </w:p>
    <w:p w14:paraId="5C49B88C" w14:textId="446B7F1D" w:rsidR="00AB5551" w:rsidRPr="0095150D" w:rsidRDefault="00D12A7D" w:rsidP="004F4152">
      <w:pPr>
        <w:spacing w:before="120" w:line="276" w:lineRule="auto"/>
        <w:rPr>
          <w:b/>
          <w:sz w:val="26"/>
          <w:szCs w:val="26"/>
        </w:rPr>
      </w:pPr>
      <w:r w:rsidRPr="0095150D">
        <w:rPr>
          <w:b/>
          <w:sz w:val="26"/>
          <w:szCs w:val="26"/>
        </w:rPr>
        <w:t>5. Sản phẩm:</w:t>
      </w:r>
    </w:p>
    <w:tbl>
      <w:tblPr>
        <w:tblStyle w:val="a0"/>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4321"/>
        <w:gridCol w:w="1620"/>
        <w:gridCol w:w="1350"/>
        <w:gridCol w:w="1114"/>
      </w:tblGrid>
      <w:tr w:rsidR="00AB5551" w:rsidRPr="0095150D" w14:paraId="7C4F1B83" w14:textId="77777777" w:rsidTr="00D12A7D">
        <w:trPr>
          <w:tblHeader/>
          <w:jc w:val="center"/>
        </w:trPr>
        <w:tc>
          <w:tcPr>
            <w:tcW w:w="804" w:type="dxa"/>
          </w:tcPr>
          <w:p w14:paraId="1339BF49" w14:textId="77777777" w:rsidR="00AB5551" w:rsidRPr="0095150D" w:rsidRDefault="00D12A7D" w:rsidP="004F4152">
            <w:pPr>
              <w:spacing w:before="120" w:line="276" w:lineRule="auto"/>
              <w:jc w:val="center"/>
              <w:rPr>
                <w:b/>
                <w:sz w:val="26"/>
                <w:szCs w:val="26"/>
              </w:rPr>
            </w:pPr>
            <w:r w:rsidRPr="0095150D">
              <w:rPr>
                <w:b/>
                <w:sz w:val="26"/>
                <w:szCs w:val="26"/>
              </w:rPr>
              <w:t>STT</w:t>
            </w:r>
          </w:p>
        </w:tc>
        <w:tc>
          <w:tcPr>
            <w:tcW w:w="4321" w:type="dxa"/>
          </w:tcPr>
          <w:p w14:paraId="296C00A1" w14:textId="77777777" w:rsidR="00AB5551" w:rsidRPr="0095150D" w:rsidRDefault="00D12A7D" w:rsidP="004F4152">
            <w:pPr>
              <w:spacing w:before="120" w:line="276" w:lineRule="auto"/>
              <w:jc w:val="center"/>
              <w:rPr>
                <w:b/>
                <w:sz w:val="26"/>
                <w:szCs w:val="26"/>
              </w:rPr>
            </w:pPr>
            <w:r w:rsidRPr="0095150D">
              <w:rPr>
                <w:b/>
                <w:sz w:val="26"/>
                <w:szCs w:val="26"/>
              </w:rPr>
              <w:t>Sản phẩm</w:t>
            </w:r>
          </w:p>
        </w:tc>
        <w:tc>
          <w:tcPr>
            <w:tcW w:w="1620" w:type="dxa"/>
          </w:tcPr>
          <w:p w14:paraId="2F60E14D" w14:textId="77777777" w:rsidR="00AB5551" w:rsidRPr="0095150D" w:rsidRDefault="00D12A7D" w:rsidP="004F4152">
            <w:pPr>
              <w:spacing w:before="120" w:line="276" w:lineRule="auto"/>
              <w:jc w:val="center"/>
              <w:rPr>
                <w:b/>
                <w:sz w:val="26"/>
                <w:szCs w:val="26"/>
              </w:rPr>
            </w:pPr>
            <w:r w:rsidRPr="0095150D">
              <w:rPr>
                <w:b/>
                <w:sz w:val="26"/>
                <w:szCs w:val="26"/>
              </w:rPr>
              <w:t>Số lượng theo thuyết minh</w:t>
            </w:r>
          </w:p>
        </w:tc>
        <w:tc>
          <w:tcPr>
            <w:tcW w:w="1350" w:type="dxa"/>
          </w:tcPr>
          <w:p w14:paraId="32B02562" w14:textId="77777777" w:rsidR="00AB5551" w:rsidRPr="0095150D" w:rsidRDefault="00D12A7D" w:rsidP="004F4152">
            <w:pPr>
              <w:spacing w:before="120" w:line="276" w:lineRule="auto"/>
              <w:jc w:val="center"/>
              <w:rPr>
                <w:b/>
                <w:sz w:val="26"/>
                <w:szCs w:val="26"/>
              </w:rPr>
            </w:pPr>
            <w:r w:rsidRPr="0095150D">
              <w:rPr>
                <w:b/>
                <w:sz w:val="26"/>
                <w:szCs w:val="26"/>
              </w:rPr>
              <w:t>Số lượng thực tế</w:t>
            </w:r>
          </w:p>
        </w:tc>
        <w:tc>
          <w:tcPr>
            <w:tcW w:w="1114" w:type="dxa"/>
          </w:tcPr>
          <w:p w14:paraId="2A96F559" w14:textId="77777777" w:rsidR="00AB5551" w:rsidRPr="0095150D" w:rsidRDefault="00D12A7D" w:rsidP="004F4152">
            <w:pPr>
              <w:spacing w:before="120" w:line="276" w:lineRule="auto"/>
              <w:jc w:val="center"/>
              <w:rPr>
                <w:b/>
                <w:sz w:val="26"/>
                <w:szCs w:val="26"/>
              </w:rPr>
            </w:pPr>
            <w:r w:rsidRPr="0095150D">
              <w:rPr>
                <w:b/>
                <w:sz w:val="26"/>
                <w:szCs w:val="26"/>
              </w:rPr>
              <w:t>Ghi chú</w:t>
            </w:r>
          </w:p>
        </w:tc>
      </w:tr>
      <w:tr w:rsidR="00AB5551" w:rsidRPr="0095150D" w14:paraId="0449F4FD" w14:textId="77777777" w:rsidTr="00D12A7D">
        <w:trPr>
          <w:jc w:val="center"/>
        </w:trPr>
        <w:tc>
          <w:tcPr>
            <w:tcW w:w="804" w:type="dxa"/>
          </w:tcPr>
          <w:p w14:paraId="01DF7C09" w14:textId="77777777" w:rsidR="00AB5551" w:rsidRPr="0095150D" w:rsidRDefault="00D12A7D" w:rsidP="004F4152">
            <w:pPr>
              <w:spacing w:before="120" w:line="276" w:lineRule="auto"/>
              <w:jc w:val="center"/>
              <w:rPr>
                <w:b/>
                <w:bCs/>
                <w:sz w:val="26"/>
                <w:szCs w:val="26"/>
              </w:rPr>
            </w:pPr>
            <w:r w:rsidRPr="0095150D">
              <w:rPr>
                <w:b/>
                <w:bCs/>
                <w:sz w:val="26"/>
                <w:szCs w:val="26"/>
              </w:rPr>
              <w:t>I</w:t>
            </w:r>
          </w:p>
        </w:tc>
        <w:tc>
          <w:tcPr>
            <w:tcW w:w="4321" w:type="dxa"/>
          </w:tcPr>
          <w:p w14:paraId="75A61A17" w14:textId="77777777" w:rsidR="00AB5551" w:rsidRPr="0095150D" w:rsidRDefault="00D12A7D" w:rsidP="004F4152">
            <w:pPr>
              <w:spacing w:before="120" w:line="276" w:lineRule="auto"/>
              <w:rPr>
                <w:b/>
                <w:bCs/>
                <w:sz w:val="26"/>
                <w:szCs w:val="26"/>
              </w:rPr>
            </w:pPr>
            <w:r w:rsidRPr="0095150D">
              <w:rPr>
                <w:b/>
                <w:bCs/>
                <w:sz w:val="26"/>
                <w:szCs w:val="26"/>
              </w:rPr>
              <w:t>Sản phẩm khoa học</w:t>
            </w:r>
          </w:p>
        </w:tc>
        <w:tc>
          <w:tcPr>
            <w:tcW w:w="1620" w:type="dxa"/>
          </w:tcPr>
          <w:p w14:paraId="0043E6BD" w14:textId="6A23A090" w:rsidR="00AB5551" w:rsidRPr="0095150D" w:rsidRDefault="00C22A4C" w:rsidP="004F4152">
            <w:pPr>
              <w:spacing w:before="120" w:line="276" w:lineRule="auto"/>
              <w:jc w:val="center"/>
              <w:rPr>
                <w:b/>
                <w:bCs/>
                <w:sz w:val="26"/>
                <w:szCs w:val="26"/>
              </w:rPr>
            </w:pPr>
            <w:r w:rsidRPr="0095150D">
              <w:rPr>
                <w:b/>
                <w:bCs/>
                <w:sz w:val="26"/>
                <w:szCs w:val="26"/>
                <w:lang w:val="en-US"/>
              </w:rPr>
              <w:t>0</w:t>
            </w:r>
            <w:r w:rsidR="006440CC" w:rsidRPr="0095150D">
              <w:rPr>
                <w:b/>
                <w:bCs/>
                <w:sz w:val="26"/>
                <w:szCs w:val="26"/>
              </w:rPr>
              <w:t>2</w:t>
            </w:r>
          </w:p>
        </w:tc>
        <w:tc>
          <w:tcPr>
            <w:tcW w:w="1350" w:type="dxa"/>
          </w:tcPr>
          <w:p w14:paraId="47F786F3" w14:textId="16C4B70C" w:rsidR="00AB5551" w:rsidRPr="0095150D" w:rsidRDefault="00C22A4C" w:rsidP="004F4152">
            <w:pPr>
              <w:spacing w:before="120" w:line="276" w:lineRule="auto"/>
              <w:jc w:val="center"/>
              <w:rPr>
                <w:b/>
                <w:bCs/>
                <w:sz w:val="26"/>
                <w:szCs w:val="26"/>
              </w:rPr>
            </w:pPr>
            <w:r w:rsidRPr="0095150D">
              <w:rPr>
                <w:b/>
                <w:bCs/>
                <w:sz w:val="26"/>
                <w:szCs w:val="26"/>
                <w:lang w:val="en-US"/>
              </w:rPr>
              <w:t>0</w:t>
            </w:r>
            <w:r w:rsidR="006440CC" w:rsidRPr="0095150D">
              <w:rPr>
                <w:b/>
                <w:bCs/>
                <w:sz w:val="26"/>
                <w:szCs w:val="26"/>
              </w:rPr>
              <w:t>2</w:t>
            </w:r>
          </w:p>
        </w:tc>
        <w:tc>
          <w:tcPr>
            <w:tcW w:w="1114" w:type="dxa"/>
          </w:tcPr>
          <w:p w14:paraId="7E00EB25" w14:textId="77777777" w:rsidR="00AB5551" w:rsidRPr="0095150D" w:rsidRDefault="00AB5551" w:rsidP="004F4152">
            <w:pPr>
              <w:spacing w:before="120" w:line="276" w:lineRule="auto"/>
              <w:jc w:val="center"/>
              <w:rPr>
                <w:b/>
                <w:bCs/>
                <w:sz w:val="26"/>
                <w:szCs w:val="26"/>
              </w:rPr>
            </w:pPr>
          </w:p>
        </w:tc>
      </w:tr>
      <w:tr w:rsidR="00AB5551" w:rsidRPr="0095150D" w14:paraId="2E7224E4" w14:textId="77777777" w:rsidTr="00D12A7D">
        <w:trPr>
          <w:jc w:val="center"/>
        </w:trPr>
        <w:tc>
          <w:tcPr>
            <w:tcW w:w="804" w:type="dxa"/>
          </w:tcPr>
          <w:p w14:paraId="24483BD8" w14:textId="77777777" w:rsidR="00AB5551" w:rsidRPr="0095150D" w:rsidRDefault="00D12A7D" w:rsidP="004F4152">
            <w:pPr>
              <w:spacing w:before="120" w:line="276" w:lineRule="auto"/>
              <w:jc w:val="center"/>
              <w:rPr>
                <w:bCs/>
                <w:sz w:val="26"/>
                <w:szCs w:val="26"/>
              </w:rPr>
            </w:pPr>
            <w:r w:rsidRPr="0095150D">
              <w:rPr>
                <w:bCs/>
                <w:sz w:val="26"/>
                <w:szCs w:val="26"/>
              </w:rPr>
              <w:t>1.1</w:t>
            </w:r>
          </w:p>
        </w:tc>
        <w:tc>
          <w:tcPr>
            <w:tcW w:w="4321" w:type="dxa"/>
          </w:tcPr>
          <w:p w14:paraId="0BCDE4BA" w14:textId="77777777" w:rsidR="00970BFE" w:rsidRPr="0095150D" w:rsidRDefault="00D12A7D" w:rsidP="004F4152">
            <w:pPr>
              <w:spacing w:before="120" w:line="276" w:lineRule="auto"/>
              <w:jc w:val="both"/>
              <w:rPr>
                <w:bCs/>
                <w:sz w:val="26"/>
                <w:szCs w:val="26"/>
                <w:lang w:val="en-US"/>
              </w:rPr>
            </w:pPr>
            <w:r w:rsidRPr="0095150D">
              <w:rPr>
                <w:bCs/>
                <w:sz w:val="26"/>
                <w:szCs w:val="26"/>
              </w:rPr>
              <w:t xml:space="preserve">Bài báo </w:t>
            </w:r>
          </w:p>
          <w:p w14:paraId="022C8E36" w14:textId="4396603C" w:rsidR="006440CC" w:rsidRPr="00CA719B" w:rsidRDefault="006440CC" w:rsidP="004F4152">
            <w:pPr>
              <w:spacing w:before="120" w:line="276" w:lineRule="auto"/>
              <w:jc w:val="both"/>
              <w:rPr>
                <w:bCs/>
                <w:sz w:val="26"/>
                <w:szCs w:val="26"/>
              </w:rPr>
            </w:pPr>
            <w:r w:rsidRPr="0095150D">
              <w:rPr>
                <w:bCs/>
                <w:lang w:val="en-GB"/>
              </w:rPr>
              <w:t>Trần Văn Hải (2025)</w:t>
            </w:r>
            <w:r w:rsidRPr="0095150D">
              <w:rPr>
                <w:bCs/>
              </w:rPr>
              <w:t>.</w:t>
            </w:r>
            <w:r w:rsidRPr="0095150D">
              <w:rPr>
                <w:bCs/>
                <w:lang w:val="en-GB"/>
              </w:rPr>
              <w:t xml:space="preserve"> Nâng cao năng lực quản trị rủi ro của các công ty chứng khoán Việt Nam, Tạp chí Tài chính. Kỳ 1, tháng 04/2025. ISSN: 2615-8973</w:t>
            </w:r>
            <w:r w:rsidR="00CA719B">
              <w:rPr>
                <w:bCs/>
              </w:rPr>
              <w:t>, 5 trang</w:t>
            </w:r>
          </w:p>
        </w:tc>
        <w:tc>
          <w:tcPr>
            <w:tcW w:w="1620" w:type="dxa"/>
          </w:tcPr>
          <w:p w14:paraId="02585EB3" w14:textId="13AF1537" w:rsidR="00AB5551" w:rsidRPr="0095150D" w:rsidRDefault="006440CC" w:rsidP="004F4152">
            <w:pPr>
              <w:spacing w:before="120" w:line="276" w:lineRule="auto"/>
              <w:jc w:val="center"/>
              <w:rPr>
                <w:bCs/>
                <w:sz w:val="26"/>
                <w:szCs w:val="26"/>
              </w:rPr>
            </w:pPr>
            <w:r w:rsidRPr="0095150D">
              <w:rPr>
                <w:bCs/>
                <w:sz w:val="26"/>
                <w:szCs w:val="26"/>
              </w:rPr>
              <w:t>1</w:t>
            </w:r>
          </w:p>
        </w:tc>
        <w:tc>
          <w:tcPr>
            <w:tcW w:w="1350" w:type="dxa"/>
          </w:tcPr>
          <w:p w14:paraId="1335AB89" w14:textId="6DE31669" w:rsidR="00AB5551" w:rsidRPr="0095150D" w:rsidRDefault="006440CC" w:rsidP="004F4152">
            <w:pPr>
              <w:spacing w:before="120" w:line="276" w:lineRule="auto"/>
              <w:jc w:val="center"/>
              <w:rPr>
                <w:bCs/>
                <w:sz w:val="26"/>
                <w:szCs w:val="26"/>
              </w:rPr>
            </w:pPr>
            <w:r w:rsidRPr="0095150D">
              <w:rPr>
                <w:bCs/>
                <w:sz w:val="26"/>
                <w:szCs w:val="26"/>
              </w:rPr>
              <w:t>1</w:t>
            </w:r>
          </w:p>
        </w:tc>
        <w:tc>
          <w:tcPr>
            <w:tcW w:w="1114" w:type="dxa"/>
          </w:tcPr>
          <w:p w14:paraId="0D025B38" w14:textId="77777777" w:rsidR="00AB5551" w:rsidRPr="0095150D" w:rsidRDefault="00AB5551" w:rsidP="004F4152">
            <w:pPr>
              <w:spacing w:before="120" w:line="276" w:lineRule="auto"/>
              <w:jc w:val="center"/>
              <w:rPr>
                <w:sz w:val="26"/>
                <w:szCs w:val="26"/>
              </w:rPr>
            </w:pPr>
          </w:p>
        </w:tc>
      </w:tr>
      <w:tr w:rsidR="00AB5551" w:rsidRPr="0095150D" w14:paraId="515FA084" w14:textId="77777777" w:rsidTr="00D12A7D">
        <w:trPr>
          <w:jc w:val="center"/>
        </w:trPr>
        <w:tc>
          <w:tcPr>
            <w:tcW w:w="804" w:type="dxa"/>
          </w:tcPr>
          <w:p w14:paraId="75FBCC80" w14:textId="77777777" w:rsidR="00AB5551" w:rsidRPr="0095150D" w:rsidRDefault="00D12A7D" w:rsidP="004F4152">
            <w:pPr>
              <w:spacing w:before="120" w:line="276" w:lineRule="auto"/>
              <w:jc w:val="center"/>
              <w:rPr>
                <w:sz w:val="26"/>
                <w:szCs w:val="26"/>
              </w:rPr>
            </w:pPr>
            <w:r w:rsidRPr="0095150D">
              <w:rPr>
                <w:sz w:val="26"/>
                <w:szCs w:val="26"/>
              </w:rPr>
              <w:t>1.2</w:t>
            </w:r>
          </w:p>
        </w:tc>
        <w:tc>
          <w:tcPr>
            <w:tcW w:w="4321" w:type="dxa"/>
          </w:tcPr>
          <w:p w14:paraId="54DF906C" w14:textId="77777777" w:rsidR="005943A5" w:rsidRPr="0095150D" w:rsidRDefault="005943A5" w:rsidP="005943A5">
            <w:pPr>
              <w:spacing w:before="120" w:line="276" w:lineRule="auto"/>
              <w:jc w:val="both"/>
              <w:rPr>
                <w:bCs/>
                <w:sz w:val="26"/>
                <w:szCs w:val="26"/>
                <w:lang w:val="en-US"/>
              </w:rPr>
            </w:pPr>
            <w:r w:rsidRPr="0095150D">
              <w:rPr>
                <w:bCs/>
                <w:sz w:val="26"/>
                <w:szCs w:val="26"/>
              </w:rPr>
              <w:t xml:space="preserve">Bài báo </w:t>
            </w:r>
          </w:p>
          <w:p w14:paraId="57E15411" w14:textId="1D0F1EFC" w:rsidR="006440CC" w:rsidRPr="00CA719B" w:rsidRDefault="006440CC" w:rsidP="005943A5">
            <w:pPr>
              <w:spacing w:before="120" w:line="276" w:lineRule="auto"/>
              <w:jc w:val="both"/>
              <w:rPr>
                <w:i/>
                <w:iCs/>
                <w:sz w:val="26"/>
                <w:szCs w:val="26"/>
              </w:rPr>
            </w:pPr>
            <w:r w:rsidRPr="0095150D">
              <w:rPr>
                <w:bCs/>
                <w:lang w:val="en-GB"/>
              </w:rPr>
              <w:t>Trần Văn Hải (2025) Nâng cao khả năng sinh lời cho các công ty chứng khoán Việt Nam, Tạp chí Tài chính. Kỳ 1, tháng 09/2025. ISSN: 2615-8973</w:t>
            </w:r>
            <w:r w:rsidR="00CA719B">
              <w:rPr>
                <w:bCs/>
              </w:rPr>
              <w:t>, 9 trang</w:t>
            </w:r>
          </w:p>
        </w:tc>
        <w:tc>
          <w:tcPr>
            <w:tcW w:w="1620" w:type="dxa"/>
          </w:tcPr>
          <w:p w14:paraId="7A62FCE5" w14:textId="3ECD87E4" w:rsidR="00AB5551" w:rsidRPr="0095150D" w:rsidRDefault="006440CC" w:rsidP="004F4152">
            <w:pPr>
              <w:spacing w:before="120" w:line="276" w:lineRule="auto"/>
              <w:jc w:val="center"/>
              <w:rPr>
                <w:sz w:val="26"/>
                <w:szCs w:val="26"/>
              </w:rPr>
            </w:pPr>
            <w:r w:rsidRPr="0095150D">
              <w:rPr>
                <w:sz w:val="26"/>
                <w:szCs w:val="26"/>
              </w:rPr>
              <w:t>1</w:t>
            </w:r>
          </w:p>
        </w:tc>
        <w:tc>
          <w:tcPr>
            <w:tcW w:w="1350" w:type="dxa"/>
          </w:tcPr>
          <w:p w14:paraId="428CCC89" w14:textId="3BDF9927" w:rsidR="00AB5551" w:rsidRPr="0095150D" w:rsidRDefault="006440CC" w:rsidP="004F4152">
            <w:pPr>
              <w:spacing w:before="120" w:line="276" w:lineRule="auto"/>
              <w:jc w:val="center"/>
              <w:rPr>
                <w:sz w:val="26"/>
                <w:szCs w:val="26"/>
              </w:rPr>
            </w:pPr>
            <w:r w:rsidRPr="0095150D">
              <w:rPr>
                <w:sz w:val="26"/>
                <w:szCs w:val="26"/>
              </w:rPr>
              <w:t>1</w:t>
            </w:r>
          </w:p>
        </w:tc>
        <w:tc>
          <w:tcPr>
            <w:tcW w:w="1114" w:type="dxa"/>
          </w:tcPr>
          <w:p w14:paraId="2E8F7A9D" w14:textId="77777777" w:rsidR="00AB5551" w:rsidRPr="0095150D" w:rsidRDefault="00AB5551" w:rsidP="004F4152">
            <w:pPr>
              <w:spacing w:before="120" w:line="276" w:lineRule="auto"/>
              <w:jc w:val="center"/>
              <w:rPr>
                <w:sz w:val="26"/>
                <w:szCs w:val="26"/>
              </w:rPr>
            </w:pPr>
          </w:p>
        </w:tc>
      </w:tr>
      <w:tr w:rsidR="005943A5" w:rsidRPr="0095150D" w14:paraId="45E24B89" w14:textId="77777777" w:rsidTr="00D12A7D">
        <w:trPr>
          <w:jc w:val="center"/>
        </w:trPr>
        <w:tc>
          <w:tcPr>
            <w:tcW w:w="804" w:type="dxa"/>
          </w:tcPr>
          <w:p w14:paraId="21028941" w14:textId="77777777" w:rsidR="005943A5" w:rsidRPr="0095150D" w:rsidRDefault="005943A5" w:rsidP="005943A5">
            <w:pPr>
              <w:spacing w:before="120" w:line="276" w:lineRule="auto"/>
              <w:jc w:val="center"/>
              <w:rPr>
                <w:b/>
                <w:bCs/>
                <w:sz w:val="26"/>
                <w:szCs w:val="26"/>
              </w:rPr>
            </w:pPr>
            <w:r w:rsidRPr="0095150D">
              <w:rPr>
                <w:b/>
                <w:bCs/>
                <w:sz w:val="26"/>
                <w:szCs w:val="26"/>
              </w:rPr>
              <w:t>II</w:t>
            </w:r>
          </w:p>
        </w:tc>
        <w:tc>
          <w:tcPr>
            <w:tcW w:w="4321" w:type="dxa"/>
          </w:tcPr>
          <w:p w14:paraId="795844EC" w14:textId="77777777" w:rsidR="005943A5" w:rsidRPr="0095150D" w:rsidRDefault="005943A5" w:rsidP="005943A5">
            <w:pPr>
              <w:spacing w:before="120" w:line="276" w:lineRule="auto"/>
              <w:jc w:val="both"/>
              <w:rPr>
                <w:b/>
                <w:bCs/>
                <w:sz w:val="26"/>
                <w:szCs w:val="26"/>
              </w:rPr>
            </w:pPr>
            <w:r w:rsidRPr="0095150D">
              <w:rPr>
                <w:b/>
                <w:bCs/>
                <w:sz w:val="26"/>
                <w:szCs w:val="26"/>
              </w:rPr>
              <w:t>Sản phẩm đào tạo</w:t>
            </w:r>
          </w:p>
        </w:tc>
        <w:tc>
          <w:tcPr>
            <w:tcW w:w="1620" w:type="dxa"/>
          </w:tcPr>
          <w:p w14:paraId="4A59086C" w14:textId="4F2FFE42" w:rsidR="005943A5" w:rsidRPr="0095150D" w:rsidRDefault="005943A5" w:rsidP="005943A5">
            <w:pPr>
              <w:spacing w:before="120" w:line="276" w:lineRule="auto"/>
              <w:jc w:val="center"/>
              <w:rPr>
                <w:b/>
                <w:bCs/>
                <w:sz w:val="26"/>
                <w:szCs w:val="26"/>
                <w:lang w:val="en-US"/>
              </w:rPr>
            </w:pPr>
            <w:r w:rsidRPr="0095150D">
              <w:rPr>
                <w:b/>
                <w:bCs/>
                <w:sz w:val="26"/>
                <w:szCs w:val="26"/>
                <w:lang w:val="en-US"/>
              </w:rPr>
              <w:t>01</w:t>
            </w:r>
          </w:p>
        </w:tc>
        <w:tc>
          <w:tcPr>
            <w:tcW w:w="1350" w:type="dxa"/>
          </w:tcPr>
          <w:p w14:paraId="54A4E648" w14:textId="36AC630F" w:rsidR="005943A5" w:rsidRPr="0095150D" w:rsidRDefault="005943A5" w:rsidP="005943A5">
            <w:pPr>
              <w:spacing w:before="120" w:line="276" w:lineRule="auto"/>
              <w:jc w:val="center"/>
              <w:rPr>
                <w:b/>
                <w:bCs/>
                <w:sz w:val="26"/>
                <w:szCs w:val="26"/>
              </w:rPr>
            </w:pPr>
            <w:r w:rsidRPr="0095150D">
              <w:rPr>
                <w:b/>
                <w:bCs/>
                <w:sz w:val="26"/>
                <w:szCs w:val="26"/>
                <w:lang w:val="en-US"/>
              </w:rPr>
              <w:t>0</w:t>
            </w:r>
            <w:r w:rsidR="006440CC" w:rsidRPr="0095150D">
              <w:rPr>
                <w:b/>
                <w:bCs/>
                <w:sz w:val="26"/>
                <w:szCs w:val="26"/>
              </w:rPr>
              <w:t>1</w:t>
            </w:r>
          </w:p>
        </w:tc>
        <w:tc>
          <w:tcPr>
            <w:tcW w:w="1114" w:type="dxa"/>
          </w:tcPr>
          <w:p w14:paraId="55234A32" w14:textId="77777777" w:rsidR="005943A5" w:rsidRPr="0095150D" w:rsidRDefault="005943A5" w:rsidP="005943A5">
            <w:pPr>
              <w:spacing w:before="120" w:line="276" w:lineRule="auto"/>
              <w:jc w:val="center"/>
              <w:rPr>
                <w:sz w:val="26"/>
                <w:szCs w:val="26"/>
              </w:rPr>
            </w:pPr>
          </w:p>
        </w:tc>
      </w:tr>
      <w:tr w:rsidR="005943A5" w:rsidRPr="0095150D" w14:paraId="3D88267D" w14:textId="77777777" w:rsidTr="006440CC">
        <w:trPr>
          <w:jc w:val="center"/>
        </w:trPr>
        <w:tc>
          <w:tcPr>
            <w:tcW w:w="804" w:type="dxa"/>
          </w:tcPr>
          <w:p w14:paraId="1578ABC7" w14:textId="77777777" w:rsidR="005943A5" w:rsidRPr="0095150D" w:rsidRDefault="005943A5" w:rsidP="005943A5">
            <w:pPr>
              <w:spacing w:before="120" w:line="276" w:lineRule="auto"/>
              <w:jc w:val="center"/>
              <w:rPr>
                <w:bCs/>
                <w:sz w:val="26"/>
                <w:szCs w:val="26"/>
              </w:rPr>
            </w:pPr>
            <w:r w:rsidRPr="0095150D">
              <w:rPr>
                <w:bCs/>
                <w:sz w:val="26"/>
                <w:szCs w:val="26"/>
              </w:rPr>
              <w:t>2.1</w:t>
            </w:r>
          </w:p>
        </w:tc>
        <w:tc>
          <w:tcPr>
            <w:tcW w:w="4321" w:type="dxa"/>
          </w:tcPr>
          <w:p w14:paraId="420354EB" w14:textId="34BDA83D" w:rsidR="005943A5" w:rsidRPr="0095150D" w:rsidRDefault="005943A5" w:rsidP="005943A5">
            <w:pPr>
              <w:spacing w:before="120" w:line="276" w:lineRule="auto"/>
              <w:jc w:val="both"/>
              <w:rPr>
                <w:bCs/>
                <w:sz w:val="26"/>
                <w:szCs w:val="26"/>
                <w:lang w:val="en-US"/>
              </w:rPr>
            </w:pPr>
            <w:r w:rsidRPr="0095150D">
              <w:rPr>
                <w:bCs/>
                <w:sz w:val="26"/>
                <w:szCs w:val="26"/>
              </w:rPr>
              <w:t>Hướng dẫ</w:t>
            </w:r>
            <w:r w:rsidRPr="0095150D">
              <w:rPr>
                <w:bCs/>
                <w:sz w:val="26"/>
                <w:szCs w:val="26"/>
                <w:lang w:val="en-US"/>
              </w:rPr>
              <w:t>n SV NCKH</w:t>
            </w:r>
          </w:p>
          <w:p w14:paraId="45FE658B" w14:textId="117D9AAC" w:rsidR="005943A5" w:rsidRPr="0095150D" w:rsidRDefault="005943A5" w:rsidP="005943A5">
            <w:pPr>
              <w:spacing w:before="120" w:line="276" w:lineRule="auto"/>
              <w:jc w:val="both"/>
              <w:rPr>
                <w:bCs/>
                <w:sz w:val="26"/>
                <w:szCs w:val="26"/>
              </w:rPr>
            </w:pPr>
            <w:r w:rsidRPr="0095150D">
              <w:rPr>
                <w:bCs/>
                <w:sz w:val="26"/>
                <w:szCs w:val="26"/>
                <w:lang w:val="en-US"/>
              </w:rPr>
              <w:t>Tên sinh viên/ nhóm sinh viên</w:t>
            </w:r>
            <w:r w:rsidR="006440CC" w:rsidRPr="0095150D">
              <w:rPr>
                <w:bCs/>
                <w:sz w:val="26"/>
                <w:szCs w:val="26"/>
              </w:rPr>
              <w:t xml:space="preserve">: </w:t>
            </w:r>
            <w:r w:rsidR="006440CC" w:rsidRPr="0095150D">
              <w:rPr>
                <w:lang w:val="en-US"/>
              </w:rPr>
              <w:t>Vũ Thị Nho, Bùi Thị Khánh Huyền, Nguyễn Quỳnh Dương</w:t>
            </w:r>
          </w:p>
          <w:p w14:paraId="0DE652D0" w14:textId="797984F5" w:rsidR="005943A5" w:rsidRPr="0095150D" w:rsidRDefault="005943A5" w:rsidP="005943A5">
            <w:pPr>
              <w:spacing w:before="120" w:line="276" w:lineRule="auto"/>
              <w:jc w:val="both"/>
              <w:rPr>
                <w:bCs/>
                <w:sz w:val="26"/>
                <w:szCs w:val="26"/>
              </w:rPr>
            </w:pPr>
            <w:r w:rsidRPr="0095150D">
              <w:rPr>
                <w:bCs/>
                <w:sz w:val="26"/>
                <w:szCs w:val="26"/>
                <w:lang w:val="en-US"/>
              </w:rPr>
              <w:t>Tên đề tài</w:t>
            </w:r>
            <w:r w:rsidR="006440CC" w:rsidRPr="0095150D">
              <w:rPr>
                <w:bCs/>
                <w:sz w:val="26"/>
                <w:szCs w:val="26"/>
              </w:rPr>
              <w:t xml:space="preserve">: </w:t>
            </w:r>
            <w:r w:rsidR="006440CC" w:rsidRPr="0095150D">
              <w:rPr>
                <w:lang w:val="en-US"/>
              </w:rPr>
              <w:t>Tác động của tài chính toàn diện đến xóa đói giảm nghèo tại Việt Nam</w:t>
            </w:r>
          </w:p>
          <w:p w14:paraId="51629F13" w14:textId="5D699B56" w:rsidR="006440CC" w:rsidRPr="0095150D" w:rsidRDefault="005943A5" w:rsidP="006440CC">
            <w:pPr>
              <w:spacing w:before="120" w:line="276" w:lineRule="auto"/>
              <w:jc w:val="both"/>
              <w:rPr>
                <w:bCs/>
                <w:sz w:val="26"/>
                <w:szCs w:val="26"/>
              </w:rPr>
            </w:pPr>
            <w:r w:rsidRPr="0095150D">
              <w:rPr>
                <w:bCs/>
                <w:sz w:val="26"/>
                <w:szCs w:val="26"/>
                <w:lang w:val="en-US"/>
              </w:rPr>
              <w:t>Đạt giải</w:t>
            </w:r>
            <w:r w:rsidR="006440CC" w:rsidRPr="0095150D">
              <w:rPr>
                <w:bCs/>
                <w:sz w:val="26"/>
                <w:szCs w:val="26"/>
              </w:rPr>
              <w:t>: Nhì</w:t>
            </w:r>
            <w:r w:rsidR="0095150D">
              <w:rPr>
                <w:bCs/>
                <w:sz w:val="26"/>
                <w:szCs w:val="26"/>
              </w:rPr>
              <w:t xml:space="preserve"> -</w:t>
            </w:r>
            <w:r w:rsidR="006440CC" w:rsidRPr="0095150D">
              <w:rPr>
                <w:bCs/>
                <w:sz w:val="26"/>
                <w:szCs w:val="26"/>
              </w:rPr>
              <w:t xml:space="preserve"> cấp trường</w:t>
            </w:r>
          </w:p>
        </w:tc>
        <w:tc>
          <w:tcPr>
            <w:tcW w:w="1620" w:type="dxa"/>
            <w:vAlign w:val="center"/>
          </w:tcPr>
          <w:p w14:paraId="4F7D7511" w14:textId="7B16A686" w:rsidR="005943A5" w:rsidRPr="0095150D" w:rsidRDefault="006440CC" w:rsidP="006440CC">
            <w:pPr>
              <w:spacing w:before="120" w:line="276" w:lineRule="auto"/>
              <w:jc w:val="center"/>
              <w:rPr>
                <w:sz w:val="26"/>
                <w:szCs w:val="26"/>
              </w:rPr>
            </w:pPr>
            <w:r w:rsidRPr="0095150D">
              <w:rPr>
                <w:sz w:val="26"/>
                <w:szCs w:val="26"/>
              </w:rPr>
              <w:t>01</w:t>
            </w:r>
          </w:p>
        </w:tc>
        <w:tc>
          <w:tcPr>
            <w:tcW w:w="1350" w:type="dxa"/>
            <w:vAlign w:val="center"/>
          </w:tcPr>
          <w:p w14:paraId="1B00ECDD" w14:textId="14AF9ECD" w:rsidR="005943A5" w:rsidRPr="0095150D" w:rsidRDefault="006440CC" w:rsidP="006440CC">
            <w:pPr>
              <w:spacing w:before="120" w:line="276" w:lineRule="auto"/>
              <w:jc w:val="center"/>
              <w:rPr>
                <w:sz w:val="26"/>
                <w:szCs w:val="26"/>
              </w:rPr>
            </w:pPr>
            <w:r w:rsidRPr="0095150D">
              <w:rPr>
                <w:sz w:val="26"/>
                <w:szCs w:val="26"/>
              </w:rPr>
              <w:t>01</w:t>
            </w:r>
          </w:p>
        </w:tc>
        <w:tc>
          <w:tcPr>
            <w:tcW w:w="1114" w:type="dxa"/>
          </w:tcPr>
          <w:p w14:paraId="0D8B8C0A" w14:textId="4BD92C90" w:rsidR="005943A5" w:rsidRPr="0095150D" w:rsidRDefault="005943A5" w:rsidP="005943A5">
            <w:pPr>
              <w:spacing w:before="120" w:line="276" w:lineRule="auto"/>
              <w:jc w:val="center"/>
              <w:rPr>
                <w:sz w:val="26"/>
                <w:szCs w:val="26"/>
                <w:lang w:val="en-US"/>
              </w:rPr>
            </w:pPr>
          </w:p>
        </w:tc>
      </w:tr>
      <w:tr w:rsidR="005943A5" w:rsidRPr="0095150D" w14:paraId="2B5E9A70" w14:textId="77777777" w:rsidTr="00D12A7D">
        <w:trPr>
          <w:jc w:val="center"/>
        </w:trPr>
        <w:tc>
          <w:tcPr>
            <w:tcW w:w="804" w:type="dxa"/>
          </w:tcPr>
          <w:p w14:paraId="58A85D37" w14:textId="77777777" w:rsidR="005943A5" w:rsidRPr="0095150D" w:rsidRDefault="005943A5" w:rsidP="005943A5">
            <w:pPr>
              <w:spacing w:before="120" w:line="276" w:lineRule="auto"/>
              <w:jc w:val="center"/>
              <w:rPr>
                <w:b/>
                <w:bCs/>
                <w:sz w:val="26"/>
                <w:szCs w:val="26"/>
              </w:rPr>
            </w:pPr>
            <w:r w:rsidRPr="0095150D">
              <w:rPr>
                <w:b/>
                <w:bCs/>
                <w:sz w:val="26"/>
                <w:szCs w:val="26"/>
              </w:rPr>
              <w:t>III</w:t>
            </w:r>
          </w:p>
        </w:tc>
        <w:tc>
          <w:tcPr>
            <w:tcW w:w="4321" w:type="dxa"/>
          </w:tcPr>
          <w:p w14:paraId="4E0CF93F" w14:textId="77777777" w:rsidR="005943A5" w:rsidRPr="0095150D" w:rsidRDefault="005943A5" w:rsidP="005943A5">
            <w:pPr>
              <w:spacing w:before="120" w:line="276" w:lineRule="auto"/>
              <w:jc w:val="both"/>
              <w:rPr>
                <w:b/>
                <w:bCs/>
                <w:sz w:val="26"/>
                <w:szCs w:val="26"/>
              </w:rPr>
            </w:pPr>
            <w:r w:rsidRPr="0095150D">
              <w:rPr>
                <w:b/>
                <w:bCs/>
                <w:sz w:val="26"/>
                <w:szCs w:val="26"/>
              </w:rPr>
              <w:t>Sản phẩm ứng dụng và các sản phẩm khác</w:t>
            </w:r>
          </w:p>
        </w:tc>
        <w:tc>
          <w:tcPr>
            <w:tcW w:w="1620" w:type="dxa"/>
          </w:tcPr>
          <w:p w14:paraId="62C2BFCD" w14:textId="687980B9" w:rsidR="005943A5" w:rsidRPr="0095150D" w:rsidRDefault="005943A5" w:rsidP="005943A5">
            <w:pPr>
              <w:spacing w:before="120" w:line="276" w:lineRule="auto"/>
              <w:jc w:val="center"/>
              <w:rPr>
                <w:b/>
                <w:bCs/>
                <w:sz w:val="26"/>
                <w:szCs w:val="26"/>
              </w:rPr>
            </w:pPr>
            <w:r w:rsidRPr="0095150D">
              <w:rPr>
                <w:b/>
                <w:bCs/>
                <w:sz w:val="26"/>
                <w:szCs w:val="26"/>
                <w:lang w:val="en-US"/>
              </w:rPr>
              <w:t>0</w:t>
            </w:r>
            <w:r w:rsidR="00F10C58" w:rsidRPr="0095150D">
              <w:rPr>
                <w:b/>
                <w:bCs/>
                <w:sz w:val="26"/>
                <w:szCs w:val="26"/>
              </w:rPr>
              <w:t>1</w:t>
            </w:r>
          </w:p>
        </w:tc>
        <w:tc>
          <w:tcPr>
            <w:tcW w:w="1350" w:type="dxa"/>
          </w:tcPr>
          <w:p w14:paraId="6444F41C" w14:textId="25DA7887" w:rsidR="005943A5" w:rsidRPr="0095150D" w:rsidRDefault="005943A5" w:rsidP="005943A5">
            <w:pPr>
              <w:spacing w:before="120" w:line="276" w:lineRule="auto"/>
              <w:jc w:val="center"/>
              <w:rPr>
                <w:b/>
                <w:bCs/>
                <w:sz w:val="26"/>
                <w:szCs w:val="26"/>
              </w:rPr>
            </w:pPr>
            <w:r w:rsidRPr="0095150D">
              <w:rPr>
                <w:b/>
                <w:bCs/>
                <w:sz w:val="26"/>
                <w:szCs w:val="26"/>
                <w:lang w:val="en-US"/>
              </w:rPr>
              <w:t>0</w:t>
            </w:r>
            <w:r w:rsidR="00F10C58" w:rsidRPr="0095150D">
              <w:rPr>
                <w:b/>
                <w:bCs/>
                <w:sz w:val="26"/>
                <w:szCs w:val="26"/>
              </w:rPr>
              <w:t>2</w:t>
            </w:r>
          </w:p>
        </w:tc>
        <w:tc>
          <w:tcPr>
            <w:tcW w:w="1114" w:type="dxa"/>
          </w:tcPr>
          <w:p w14:paraId="4455D1CE" w14:textId="77777777" w:rsidR="005943A5" w:rsidRPr="0095150D" w:rsidRDefault="005943A5" w:rsidP="005943A5">
            <w:pPr>
              <w:spacing w:before="120" w:line="276" w:lineRule="auto"/>
              <w:jc w:val="center"/>
              <w:rPr>
                <w:b/>
                <w:bCs/>
                <w:sz w:val="26"/>
                <w:szCs w:val="26"/>
              </w:rPr>
            </w:pPr>
          </w:p>
        </w:tc>
      </w:tr>
      <w:tr w:rsidR="005943A5" w:rsidRPr="0095150D" w14:paraId="1F662EF9" w14:textId="77777777" w:rsidTr="00D12A7D">
        <w:trPr>
          <w:jc w:val="center"/>
        </w:trPr>
        <w:tc>
          <w:tcPr>
            <w:tcW w:w="804" w:type="dxa"/>
          </w:tcPr>
          <w:p w14:paraId="675782EB" w14:textId="77777777" w:rsidR="005943A5" w:rsidRPr="0095150D" w:rsidRDefault="005943A5" w:rsidP="005943A5">
            <w:pPr>
              <w:spacing w:before="120" w:line="276" w:lineRule="auto"/>
              <w:jc w:val="center"/>
              <w:rPr>
                <w:bCs/>
                <w:sz w:val="26"/>
                <w:szCs w:val="26"/>
              </w:rPr>
            </w:pPr>
            <w:r w:rsidRPr="0095150D">
              <w:rPr>
                <w:bCs/>
                <w:sz w:val="26"/>
                <w:szCs w:val="26"/>
              </w:rPr>
              <w:t>3.1</w:t>
            </w:r>
          </w:p>
        </w:tc>
        <w:tc>
          <w:tcPr>
            <w:tcW w:w="4321" w:type="dxa"/>
          </w:tcPr>
          <w:p w14:paraId="41C81692" w14:textId="1FC9FA34" w:rsidR="005943A5" w:rsidRPr="0095150D" w:rsidRDefault="005943A5" w:rsidP="005943A5">
            <w:pPr>
              <w:spacing w:before="120" w:line="276" w:lineRule="auto"/>
              <w:jc w:val="both"/>
              <w:rPr>
                <w:bCs/>
                <w:sz w:val="26"/>
                <w:szCs w:val="26"/>
                <w:lang w:val="en-US"/>
              </w:rPr>
            </w:pPr>
            <w:r w:rsidRPr="0095150D">
              <w:rPr>
                <w:bCs/>
                <w:sz w:val="26"/>
                <w:szCs w:val="26"/>
                <w:lang w:val="en-US"/>
              </w:rPr>
              <w:t>Tên sản phẩm ứng dụng</w:t>
            </w:r>
          </w:p>
          <w:p w14:paraId="23464F1C" w14:textId="3E944A59" w:rsidR="00F10C58" w:rsidRPr="0095150D" w:rsidRDefault="006440CC" w:rsidP="00F10C58">
            <w:pPr>
              <w:rPr>
                <w:lang w:eastAsia="en-US"/>
              </w:rPr>
            </w:pPr>
            <w:r w:rsidRPr="0095150D">
              <w:rPr>
                <w:bCs/>
                <w:color w:val="000000" w:themeColor="text1"/>
                <w:sz w:val="26"/>
                <w:szCs w:val="26"/>
              </w:rPr>
              <w:t xml:space="preserve">Nhóm giải pháp cho doanh nghiệp để nâng cao hiệu quả hoạt động kinh doanh của các công ty chứng khoán tại thị trường Việt Nam, </w:t>
            </w:r>
            <w:r w:rsidRPr="0095150D">
              <w:rPr>
                <w:bCs/>
                <w:sz w:val="26"/>
                <w:szCs w:val="26"/>
              </w:rPr>
              <w:t>đ</w:t>
            </w:r>
            <w:r w:rsidRPr="0095150D">
              <w:rPr>
                <w:bCs/>
                <w:sz w:val="26"/>
                <w:szCs w:val="26"/>
                <w:lang w:val="en-US"/>
              </w:rPr>
              <w:t xml:space="preserve">ược xác nhận/ </w:t>
            </w:r>
            <w:r w:rsidRPr="0095150D">
              <w:rPr>
                <w:bCs/>
                <w:sz w:val="26"/>
                <w:szCs w:val="26"/>
                <w:lang w:val="en-US"/>
              </w:rPr>
              <w:lastRenderedPageBreak/>
              <w:t>nghiệm thu bởi Đơn vị</w:t>
            </w:r>
            <w:r w:rsidR="00F10C58" w:rsidRPr="0095150D">
              <w:rPr>
                <w:bCs/>
                <w:sz w:val="26"/>
                <w:szCs w:val="26"/>
              </w:rPr>
              <w:t>:</w:t>
            </w:r>
            <w:r w:rsidRPr="0095150D">
              <w:rPr>
                <w:bCs/>
                <w:sz w:val="26"/>
                <w:szCs w:val="26"/>
              </w:rPr>
              <w:t xml:space="preserve"> </w:t>
            </w:r>
            <w:r w:rsidR="00F10C58" w:rsidRPr="0095150D">
              <w:rPr>
                <w:lang w:eastAsia="en-US"/>
              </w:rPr>
              <w:t>Công ty TNHH Chứng khoán Yuanta Việt Nam – Chi nhánh Chợ Lớn; Công ty Cổ phần Dịch vụ và Đầu tư Đông Nam</w:t>
            </w:r>
          </w:p>
        </w:tc>
        <w:tc>
          <w:tcPr>
            <w:tcW w:w="1620" w:type="dxa"/>
          </w:tcPr>
          <w:p w14:paraId="5B55A190" w14:textId="26713A11" w:rsidR="005943A5" w:rsidRPr="0095150D" w:rsidRDefault="00F10C58" w:rsidP="005943A5">
            <w:pPr>
              <w:spacing w:before="120" w:line="276" w:lineRule="auto"/>
              <w:jc w:val="center"/>
              <w:rPr>
                <w:sz w:val="26"/>
                <w:szCs w:val="26"/>
              </w:rPr>
            </w:pPr>
            <w:r w:rsidRPr="0095150D">
              <w:rPr>
                <w:sz w:val="26"/>
                <w:szCs w:val="26"/>
              </w:rPr>
              <w:lastRenderedPageBreak/>
              <w:t>01</w:t>
            </w:r>
          </w:p>
        </w:tc>
        <w:tc>
          <w:tcPr>
            <w:tcW w:w="1350" w:type="dxa"/>
          </w:tcPr>
          <w:p w14:paraId="7F23FA95" w14:textId="44E3EA3D" w:rsidR="005943A5" w:rsidRPr="0095150D" w:rsidRDefault="00F10C58" w:rsidP="005943A5">
            <w:pPr>
              <w:spacing w:before="120" w:line="276" w:lineRule="auto"/>
              <w:jc w:val="center"/>
              <w:rPr>
                <w:sz w:val="26"/>
                <w:szCs w:val="26"/>
              </w:rPr>
            </w:pPr>
            <w:r w:rsidRPr="0095150D">
              <w:rPr>
                <w:sz w:val="26"/>
                <w:szCs w:val="26"/>
              </w:rPr>
              <w:t>02</w:t>
            </w:r>
          </w:p>
        </w:tc>
        <w:tc>
          <w:tcPr>
            <w:tcW w:w="1114" w:type="dxa"/>
          </w:tcPr>
          <w:p w14:paraId="22512E33" w14:textId="77777777" w:rsidR="005943A5" w:rsidRPr="0095150D" w:rsidRDefault="005943A5" w:rsidP="005943A5">
            <w:pPr>
              <w:spacing w:before="120" w:line="276" w:lineRule="auto"/>
              <w:jc w:val="center"/>
              <w:rPr>
                <w:sz w:val="26"/>
                <w:szCs w:val="26"/>
              </w:rPr>
            </w:pPr>
          </w:p>
        </w:tc>
      </w:tr>
    </w:tbl>
    <w:p w14:paraId="4CE92D30" w14:textId="341F4563" w:rsidR="00AB5551" w:rsidRPr="0095150D" w:rsidRDefault="00D12A7D" w:rsidP="004F4152">
      <w:pPr>
        <w:spacing w:before="120" w:line="276" w:lineRule="auto"/>
        <w:jc w:val="both"/>
        <w:rPr>
          <w:sz w:val="26"/>
          <w:szCs w:val="26"/>
        </w:rPr>
      </w:pPr>
      <w:r w:rsidRPr="0095150D">
        <w:rPr>
          <w:b/>
          <w:sz w:val="26"/>
          <w:szCs w:val="26"/>
        </w:rPr>
        <w:t>6. Phương thức chuyển giao, địa chỉ ứng dụng, tác động và lợi ích mang lại của kết quả nghiên cứu:</w:t>
      </w:r>
    </w:p>
    <w:p w14:paraId="28775D3C" w14:textId="4E2CD26C" w:rsidR="00AB5551" w:rsidRPr="0095150D" w:rsidRDefault="00D12A7D" w:rsidP="004F4152">
      <w:pPr>
        <w:spacing w:before="120" w:line="276" w:lineRule="auto"/>
        <w:jc w:val="both"/>
        <w:rPr>
          <w:b/>
          <w:i/>
          <w:sz w:val="26"/>
          <w:szCs w:val="26"/>
        </w:rPr>
      </w:pPr>
      <w:r w:rsidRPr="0095150D">
        <w:rPr>
          <w:b/>
          <w:i/>
          <w:sz w:val="26"/>
          <w:szCs w:val="26"/>
        </w:rPr>
        <w:t xml:space="preserve">6.1. Phương thức chuyển giao </w:t>
      </w:r>
    </w:p>
    <w:p w14:paraId="28915A0B" w14:textId="782CC34E" w:rsidR="00D12A7D" w:rsidRPr="0095150D" w:rsidRDefault="0095150D" w:rsidP="0095150D">
      <w:pPr>
        <w:shd w:val="clear" w:color="auto" w:fill="FFFFFF"/>
        <w:spacing w:line="360" w:lineRule="auto"/>
        <w:ind w:left="132" w:right="132" w:firstLine="435"/>
        <w:jc w:val="both"/>
        <w:rPr>
          <w:color w:val="000000" w:themeColor="text1"/>
          <w:sz w:val="26"/>
          <w:szCs w:val="26"/>
        </w:rPr>
      </w:pPr>
      <w:r w:rsidRPr="0095150D">
        <w:rPr>
          <w:color w:val="000000" w:themeColor="text1"/>
          <w:sz w:val="26"/>
          <w:szCs w:val="26"/>
        </w:rPr>
        <w:t>Các kết quả nghiên cứu là sản phẩm của đề tài được bàn giao cho Trường Đại học Mở Hà Nội và thuộc quyền sở hữu của Trường Đại học Mở Hà Nội. Nhà trường tổ chức chuyển giao sản phẩm nghiên cứu theo quy định hiện hành.</w:t>
      </w:r>
    </w:p>
    <w:p w14:paraId="76B8D1E5" w14:textId="0D3C95D0" w:rsidR="00AB5551" w:rsidRPr="0095150D" w:rsidRDefault="00D12A7D" w:rsidP="004F4152">
      <w:pPr>
        <w:spacing w:before="120" w:line="276" w:lineRule="auto"/>
        <w:jc w:val="both"/>
        <w:rPr>
          <w:b/>
          <w:i/>
          <w:sz w:val="26"/>
          <w:szCs w:val="26"/>
        </w:rPr>
      </w:pPr>
      <w:r w:rsidRPr="0095150D">
        <w:rPr>
          <w:b/>
          <w:i/>
          <w:sz w:val="26"/>
          <w:szCs w:val="26"/>
        </w:rPr>
        <w:t xml:space="preserve">6.2. Địa chỉ ứng dụng </w:t>
      </w:r>
    </w:p>
    <w:p w14:paraId="0D2907FE" w14:textId="77777777" w:rsidR="0095150D" w:rsidRPr="0095150D" w:rsidRDefault="0095150D" w:rsidP="0095150D">
      <w:pPr>
        <w:spacing w:line="360" w:lineRule="auto"/>
        <w:ind w:left="142" w:right="151" w:firstLine="448"/>
        <w:jc w:val="both"/>
        <w:rPr>
          <w:color w:val="000000" w:themeColor="text1"/>
          <w:sz w:val="26"/>
          <w:szCs w:val="26"/>
        </w:rPr>
      </w:pPr>
      <w:r w:rsidRPr="0095150D">
        <w:rPr>
          <w:color w:val="000000" w:themeColor="text1"/>
          <w:sz w:val="26"/>
          <w:szCs w:val="26"/>
        </w:rPr>
        <w:t>Kết quả nghiên cứu của đề tài được ứng dụng làm tài liệu tham khảo cho các CTCK hoạt động tại thị trường Việt Nam trong việc nâng cao HQHĐKD trong thời gian tới.</w:t>
      </w:r>
    </w:p>
    <w:p w14:paraId="7A245688" w14:textId="77777777" w:rsidR="0095150D" w:rsidRPr="0095150D" w:rsidRDefault="0095150D" w:rsidP="0095150D">
      <w:pPr>
        <w:spacing w:line="360" w:lineRule="auto"/>
        <w:ind w:left="142" w:right="151" w:firstLine="448"/>
        <w:jc w:val="both"/>
        <w:rPr>
          <w:color w:val="000000" w:themeColor="text1"/>
          <w:sz w:val="26"/>
          <w:szCs w:val="26"/>
        </w:rPr>
      </w:pPr>
      <w:r w:rsidRPr="0095150D">
        <w:rPr>
          <w:color w:val="000000" w:themeColor="text1"/>
          <w:sz w:val="26"/>
          <w:szCs w:val="26"/>
        </w:rPr>
        <w:t>Kết quả nghiên cứu của đề tài được ứng dụng tại Trường Đại học Mở Hà Nội làm tài liệu tham khảo cho ngành Tài chính – Ngân hàng của Trường Đại học Mở Hà Nội.</w:t>
      </w:r>
    </w:p>
    <w:p w14:paraId="612501F9" w14:textId="4FB7B17F" w:rsidR="00970BFE" w:rsidRPr="0095150D" w:rsidRDefault="0095150D" w:rsidP="0095150D">
      <w:pPr>
        <w:spacing w:line="360" w:lineRule="auto"/>
        <w:ind w:left="142" w:right="151" w:firstLine="448"/>
        <w:jc w:val="both"/>
        <w:rPr>
          <w:color w:val="000000" w:themeColor="text1"/>
          <w:sz w:val="26"/>
          <w:szCs w:val="26"/>
        </w:rPr>
      </w:pPr>
      <w:r w:rsidRPr="0095150D">
        <w:rPr>
          <w:color w:val="000000" w:themeColor="text1"/>
          <w:sz w:val="26"/>
          <w:szCs w:val="26"/>
        </w:rPr>
        <w:t>Kết quả nghiên cứu của đề tài được ứng dụng tại các viện nghiên cứu và các cơ sở đào tạo về kinh tế làm tài liệu tham khảo phục vụ hoạt động nghiên cứu và đào tạo về Tài chính, ngân hàng.</w:t>
      </w:r>
    </w:p>
    <w:tbl>
      <w:tblPr>
        <w:tblStyle w:val="a1"/>
        <w:tblW w:w="8856" w:type="dxa"/>
        <w:tblBorders>
          <w:top w:val="nil"/>
          <w:bottom w:val="nil"/>
          <w:insideH w:val="nil"/>
          <w:insideV w:val="nil"/>
        </w:tblBorders>
        <w:tblLayout w:type="fixed"/>
        <w:tblLook w:val="0400" w:firstRow="0" w:lastRow="0" w:firstColumn="0" w:lastColumn="0" w:noHBand="0" w:noVBand="1"/>
      </w:tblPr>
      <w:tblGrid>
        <w:gridCol w:w="4423"/>
        <w:gridCol w:w="4433"/>
      </w:tblGrid>
      <w:tr w:rsidR="00AB5551" w:rsidRPr="0095150D" w14:paraId="2E910AD2" w14:textId="77777777">
        <w:tc>
          <w:tcPr>
            <w:tcW w:w="4423" w:type="dxa"/>
            <w:tcBorders>
              <w:top w:val="nil"/>
              <w:left w:val="nil"/>
              <w:bottom w:val="nil"/>
              <w:right w:val="nil"/>
            </w:tcBorders>
            <w:tcMar>
              <w:top w:w="0" w:type="dxa"/>
              <w:left w:w="108" w:type="dxa"/>
              <w:bottom w:w="0" w:type="dxa"/>
              <w:right w:w="108" w:type="dxa"/>
            </w:tcMar>
          </w:tcPr>
          <w:p w14:paraId="6C591A9C" w14:textId="77777777" w:rsidR="00AB5551" w:rsidRPr="0095150D" w:rsidRDefault="00D12A7D" w:rsidP="00D12A7D">
            <w:pPr>
              <w:spacing w:before="120"/>
              <w:jc w:val="center"/>
              <w:rPr>
                <w:i/>
              </w:rPr>
            </w:pPr>
            <w:r w:rsidRPr="0095150D">
              <w:rPr>
                <w:b/>
              </w:rPr>
              <w:br/>
            </w:r>
            <w:r w:rsidRPr="0095150D">
              <w:rPr>
                <w:b/>
                <w:lang w:val="en-US"/>
              </w:rPr>
              <w:t>Lãnh đạo đơn vị</w:t>
            </w:r>
            <w:r w:rsidRPr="0095150D">
              <w:rPr>
                <w:b/>
              </w:rPr>
              <w:br/>
            </w:r>
            <w:r w:rsidRPr="0095150D">
              <w:rPr>
                <w:i/>
              </w:rPr>
              <w:t>(ký, họ và tên)</w:t>
            </w:r>
          </w:p>
          <w:p w14:paraId="1E5C66A8" w14:textId="77777777" w:rsidR="0095150D" w:rsidRPr="0095150D" w:rsidRDefault="0095150D" w:rsidP="00D12A7D">
            <w:pPr>
              <w:spacing w:before="120"/>
              <w:jc w:val="center"/>
              <w:rPr>
                <w:i/>
              </w:rPr>
            </w:pPr>
          </w:p>
          <w:p w14:paraId="13DB9713" w14:textId="478B219E" w:rsidR="0095150D" w:rsidRPr="0095150D" w:rsidRDefault="0095150D" w:rsidP="0095150D">
            <w:pPr>
              <w:spacing w:before="120"/>
              <w:rPr>
                <w:i/>
              </w:rPr>
            </w:pPr>
          </w:p>
          <w:p w14:paraId="3F959792" w14:textId="77777777" w:rsidR="0095150D" w:rsidRPr="0095150D" w:rsidRDefault="0095150D" w:rsidP="0095150D">
            <w:pPr>
              <w:spacing w:before="120"/>
              <w:rPr>
                <w:i/>
              </w:rPr>
            </w:pPr>
          </w:p>
          <w:p w14:paraId="78C6C870" w14:textId="6A3F6ABF" w:rsidR="0095150D" w:rsidRPr="0095150D" w:rsidRDefault="0095150D" w:rsidP="00D12A7D">
            <w:pPr>
              <w:spacing w:before="120"/>
              <w:jc w:val="center"/>
            </w:pPr>
            <w:r w:rsidRPr="0095150D">
              <w:rPr>
                <w:b/>
                <w:bCs/>
              </w:rPr>
              <w:t>TS. Nguyễn Văn Quang</w:t>
            </w:r>
          </w:p>
        </w:tc>
        <w:tc>
          <w:tcPr>
            <w:tcW w:w="4433" w:type="dxa"/>
            <w:tcBorders>
              <w:top w:val="nil"/>
              <w:left w:val="nil"/>
              <w:bottom w:val="nil"/>
              <w:right w:val="nil"/>
            </w:tcBorders>
            <w:tcMar>
              <w:top w:w="0" w:type="dxa"/>
              <w:left w:w="108" w:type="dxa"/>
              <w:bottom w:w="0" w:type="dxa"/>
              <w:right w:w="108" w:type="dxa"/>
            </w:tcMar>
          </w:tcPr>
          <w:p w14:paraId="01ED34C5" w14:textId="10984D1C" w:rsidR="00AB5551" w:rsidRPr="0095150D" w:rsidRDefault="00D12A7D" w:rsidP="006811C6">
            <w:pPr>
              <w:spacing w:before="120"/>
              <w:jc w:val="center"/>
            </w:pPr>
            <w:r w:rsidRPr="0095150D">
              <w:rPr>
                <w:i/>
              </w:rPr>
              <w:t>Ngày </w:t>
            </w:r>
            <w:r w:rsidRPr="0095150D">
              <w:rPr>
                <w:i/>
                <w:lang w:val="en-US"/>
              </w:rPr>
              <w:t xml:space="preserve">  </w:t>
            </w:r>
            <w:r w:rsidR="0095150D" w:rsidRPr="0095150D">
              <w:rPr>
                <w:i/>
              </w:rPr>
              <w:t>22</w:t>
            </w:r>
            <w:r w:rsidRPr="0095150D">
              <w:rPr>
                <w:i/>
                <w:lang w:val="en-US"/>
              </w:rPr>
              <w:t xml:space="preserve"> </w:t>
            </w:r>
            <w:r w:rsidRPr="0095150D">
              <w:rPr>
                <w:i/>
              </w:rPr>
              <w:t xml:space="preserve"> tháng </w:t>
            </w:r>
            <w:r w:rsidRPr="0095150D">
              <w:rPr>
                <w:i/>
                <w:lang w:val="en-US"/>
              </w:rPr>
              <w:t xml:space="preserve"> </w:t>
            </w:r>
            <w:r w:rsidR="0095150D" w:rsidRPr="0095150D">
              <w:rPr>
                <w:i/>
              </w:rPr>
              <w:t>01</w:t>
            </w:r>
            <w:r w:rsidRPr="0095150D">
              <w:rPr>
                <w:i/>
                <w:lang w:val="en-US"/>
              </w:rPr>
              <w:t xml:space="preserve"> </w:t>
            </w:r>
            <w:r w:rsidRPr="0095150D">
              <w:rPr>
                <w:i/>
              </w:rPr>
              <w:t> năm</w:t>
            </w:r>
            <w:r w:rsidRPr="0095150D">
              <w:rPr>
                <w:i/>
                <w:lang w:val="en-US"/>
              </w:rPr>
              <w:t xml:space="preserve"> 202</w:t>
            </w:r>
            <w:r w:rsidR="0095150D" w:rsidRPr="0095150D">
              <w:rPr>
                <w:i/>
              </w:rPr>
              <w:t>6</w:t>
            </w:r>
            <w:r w:rsidRPr="0095150D">
              <w:rPr>
                <w:i/>
              </w:rPr>
              <w:br/>
            </w:r>
            <w:r w:rsidRPr="0095150D">
              <w:rPr>
                <w:b/>
              </w:rPr>
              <w:t>Chủ nhiệm đề tài</w:t>
            </w:r>
            <w:r w:rsidRPr="0095150D">
              <w:rPr>
                <w:b/>
              </w:rPr>
              <w:br/>
            </w:r>
          </w:p>
          <w:p w14:paraId="1C966403" w14:textId="508780EF" w:rsidR="0095150D" w:rsidRPr="0095150D" w:rsidRDefault="0095150D" w:rsidP="006811C6">
            <w:pPr>
              <w:spacing w:before="120"/>
              <w:jc w:val="center"/>
            </w:pPr>
          </w:p>
          <w:p w14:paraId="2A6D89D2" w14:textId="68E48877" w:rsidR="0095150D" w:rsidRPr="0095150D" w:rsidRDefault="0095150D" w:rsidP="0095150D">
            <w:pPr>
              <w:spacing w:before="120" w:after="120"/>
            </w:pPr>
          </w:p>
          <w:p w14:paraId="22542190" w14:textId="77777777" w:rsidR="0095150D" w:rsidRPr="0095150D" w:rsidRDefault="0095150D" w:rsidP="0095150D">
            <w:pPr>
              <w:spacing w:before="120" w:after="120"/>
            </w:pPr>
          </w:p>
          <w:p w14:paraId="08B3C58A" w14:textId="77777777" w:rsidR="0095150D" w:rsidRPr="0095150D" w:rsidRDefault="0095150D" w:rsidP="0095150D">
            <w:pPr>
              <w:spacing w:line="360" w:lineRule="auto"/>
              <w:jc w:val="center"/>
              <w:rPr>
                <w:b/>
                <w:bCs/>
              </w:rPr>
            </w:pPr>
            <w:r w:rsidRPr="0095150D">
              <w:rPr>
                <w:b/>
                <w:bCs/>
              </w:rPr>
              <w:t>TS. Trần Văn Hải</w:t>
            </w:r>
          </w:p>
          <w:p w14:paraId="29CDFF95" w14:textId="77777777" w:rsidR="00970BFE" w:rsidRPr="0095150D" w:rsidRDefault="00970BFE">
            <w:pPr>
              <w:spacing w:before="120"/>
              <w:jc w:val="center"/>
            </w:pPr>
          </w:p>
          <w:p w14:paraId="5468A0AD" w14:textId="77777777" w:rsidR="00970BFE" w:rsidRPr="0095150D" w:rsidRDefault="00970BFE">
            <w:pPr>
              <w:spacing w:before="120"/>
              <w:jc w:val="center"/>
            </w:pPr>
          </w:p>
          <w:p w14:paraId="1EA756F2" w14:textId="6C6EFDE8" w:rsidR="00970BFE" w:rsidRPr="0095150D" w:rsidRDefault="00970BFE">
            <w:pPr>
              <w:spacing w:before="120"/>
              <w:jc w:val="center"/>
            </w:pPr>
          </w:p>
          <w:p w14:paraId="790F9368" w14:textId="77777777" w:rsidR="00970BFE" w:rsidRPr="0095150D" w:rsidRDefault="00970BFE">
            <w:pPr>
              <w:spacing w:before="120"/>
              <w:jc w:val="center"/>
            </w:pPr>
          </w:p>
          <w:p w14:paraId="7D0471DC" w14:textId="103EA42B" w:rsidR="00970BFE" w:rsidRPr="0095150D" w:rsidRDefault="00970BFE">
            <w:pPr>
              <w:spacing w:before="120"/>
              <w:jc w:val="center"/>
              <w:rPr>
                <w:b/>
                <w:bCs/>
                <w:lang w:val="en-US"/>
              </w:rPr>
            </w:pPr>
          </w:p>
        </w:tc>
      </w:tr>
    </w:tbl>
    <w:p w14:paraId="26448290" w14:textId="33B6D231" w:rsidR="00612AA5" w:rsidRPr="0095150D" w:rsidRDefault="00612AA5" w:rsidP="00574F10">
      <w:pPr>
        <w:spacing w:before="120" w:after="280"/>
      </w:pPr>
      <w:bookmarkStart w:id="0" w:name="bookmark=id.gjdgxs" w:colFirst="0" w:colLast="0"/>
      <w:bookmarkEnd w:id="0"/>
    </w:p>
    <w:sectPr w:rsidR="00612AA5" w:rsidRPr="0095150D" w:rsidSect="00D12A7D">
      <w:pgSz w:w="11906" w:h="16838"/>
      <w:pgMar w:top="900"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02201"/>
    <w:multiLevelType w:val="multilevel"/>
    <w:tmpl w:val="71D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51"/>
    <w:rsid w:val="00064986"/>
    <w:rsid w:val="000A0164"/>
    <w:rsid w:val="00175606"/>
    <w:rsid w:val="00176433"/>
    <w:rsid w:val="00244426"/>
    <w:rsid w:val="00255491"/>
    <w:rsid w:val="002A119A"/>
    <w:rsid w:val="002E3C35"/>
    <w:rsid w:val="003406B2"/>
    <w:rsid w:val="004061FE"/>
    <w:rsid w:val="00407BAE"/>
    <w:rsid w:val="00462D21"/>
    <w:rsid w:val="004F4152"/>
    <w:rsid w:val="004F47E6"/>
    <w:rsid w:val="00550350"/>
    <w:rsid w:val="00574F10"/>
    <w:rsid w:val="005943A5"/>
    <w:rsid w:val="005964FE"/>
    <w:rsid w:val="005F4351"/>
    <w:rsid w:val="0061189C"/>
    <w:rsid w:val="00612AA5"/>
    <w:rsid w:val="006440CC"/>
    <w:rsid w:val="006613CA"/>
    <w:rsid w:val="006811C6"/>
    <w:rsid w:val="00687BBF"/>
    <w:rsid w:val="006B5383"/>
    <w:rsid w:val="007166EF"/>
    <w:rsid w:val="007B098F"/>
    <w:rsid w:val="007D12C1"/>
    <w:rsid w:val="00802426"/>
    <w:rsid w:val="008928A6"/>
    <w:rsid w:val="0089524E"/>
    <w:rsid w:val="0095150D"/>
    <w:rsid w:val="00970BFE"/>
    <w:rsid w:val="009E6EA2"/>
    <w:rsid w:val="00AB5551"/>
    <w:rsid w:val="00AD723F"/>
    <w:rsid w:val="00B045DB"/>
    <w:rsid w:val="00B9242E"/>
    <w:rsid w:val="00BC0660"/>
    <w:rsid w:val="00BC7CC8"/>
    <w:rsid w:val="00C22A4C"/>
    <w:rsid w:val="00CA719B"/>
    <w:rsid w:val="00D12A7D"/>
    <w:rsid w:val="00D746B0"/>
    <w:rsid w:val="00DF6A30"/>
    <w:rsid w:val="00F10C58"/>
    <w:rsid w:val="00F972D6"/>
    <w:rsid w:val="00FA7B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C404"/>
  <w15:docId w15:val="{85BD4BFB-5AE1-43CB-91BA-4F809302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A7"/>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D6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ListParagraph">
    <w:name w:val="List Paragraph"/>
    <w:basedOn w:val="Normal"/>
    <w:link w:val="ListParagraphChar"/>
    <w:qFormat/>
    <w:rsid w:val="00970BFE"/>
    <w:pPr>
      <w:ind w:left="720"/>
      <w:contextualSpacing/>
    </w:pPr>
  </w:style>
  <w:style w:type="character" w:customStyle="1" w:styleId="ListParagraphChar">
    <w:name w:val="List Paragraph Char"/>
    <w:link w:val="ListParagraph"/>
    <w:rsid w:val="00176433"/>
    <w:rPr>
      <w:lang w:eastAsia="ja-JP"/>
    </w:rPr>
  </w:style>
  <w:style w:type="paragraph" w:styleId="HTMLPreformatted">
    <w:name w:val="HTML Preformatted"/>
    <w:basedOn w:val="Normal"/>
    <w:link w:val="HTMLPreformattedChar"/>
    <w:uiPriority w:val="99"/>
    <w:semiHidden/>
    <w:unhideWhenUsed/>
    <w:rsid w:val="00612AA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2AA5"/>
    <w:rPr>
      <w:rFonts w:ascii="Consolas" w:hAnsi="Consola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59">
      <w:bodyDiv w:val="1"/>
      <w:marLeft w:val="0"/>
      <w:marRight w:val="0"/>
      <w:marTop w:val="0"/>
      <w:marBottom w:val="0"/>
      <w:divBdr>
        <w:top w:val="none" w:sz="0" w:space="0" w:color="auto"/>
        <w:left w:val="none" w:sz="0" w:space="0" w:color="auto"/>
        <w:bottom w:val="none" w:sz="0" w:space="0" w:color="auto"/>
        <w:right w:val="none" w:sz="0" w:space="0" w:color="auto"/>
      </w:divBdr>
    </w:div>
    <w:div w:id="12151588">
      <w:bodyDiv w:val="1"/>
      <w:marLeft w:val="0"/>
      <w:marRight w:val="0"/>
      <w:marTop w:val="0"/>
      <w:marBottom w:val="0"/>
      <w:divBdr>
        <w:top w:val="none" w:sz="0" w:space="0" w:color="auto"/>
        <w:left w:val="none" w:sz="0" w:space="0" w:color="auto"/>
        <w:bottom w:val="none" w:sz="0" w:space="0" w:color="auto"/>
        <w:right w:val="none" w:sz="0" w:space="0" w:color="auto"/>
      </w:divBdr>
    </w:div>
    <w:div w:id="33502057">
      <w:bodyDiv w:val="1"/>
      <w:marLeft w:val="0"/>
      <w:marRight w:val="0"/>
      <w:marTop w:val="0"/>
      <w:marBottom w:val="0"/>
      <w:divBdr>
        <w:top w:val="none" w:sz="0" w:space="0" w:color="auto"/>
        <w:left w:val="none" w:sz="0" w:space="0" w:color="auto"/>
        <w:bottom w:val="none" w:sz="0" w:space="0" w:color="auto"/>
        <w:right w:val="none" w:sz="0" w:space="0" w:color="auto"/>
      </w:divBdr>
    </w:div>
    <w:div w:id="156532304">
      <w:bodyDiv w:val="1"/>
      <w:marLeft w:val="0"/>
      <w:marRight w:val="0"/>
      <w:marTop w:val="0"/>
      <w:marBottom w:val="0"/>
      <w:divBdr>
        <w:top w:val="none" w:sz="0" w:space="0" w:color="auto"/>
        <w:left w:val="none" w:sz="0" w:space="0" w:color="auto"/>
        <w:bottom w:val="none" w:sz="0" w:space="0" w:color="auto"/>
        <w:right w:val="none" w:sz="0" w:space="0" w:color="auto"/>
      </w:divBdr>
    </w:div>
    <w:div w:id="193421299">
      <w:bodyDiv w:val="1"/>
      <w:marLeft w:val="0"/>
      <w:marRight w:val="0"/>
      <w:marTop w:val="0"/>
      <w:marBottom w:val="0"/>
      <w:divBdr>
        <w:top w:val="none" w:sz="0" w:space="0" w:color="auto"/>
        <w:left w:val="none" w:sz="0" w:space="0" w:color="auto"/>
        <w:bottom w:val="none" w:sz="0" w:space="0" w:color="auto"/>
        <w:right w:val="none" w:sz="0" w:space="0" w:color="auto"/>
      </w:divBdr>
    </w:div>
    <w:div w:id="212274778">
      <w:bodyDiv w:val="1"/>
      <w:marLeft w:val="0"/>
      <w:marRight w:val="0"/>
      <w:marTop w:val="0"/>
      <w:marBottom w:val="0"/>
      <w:divBdr>
        <w:top w:val="none" w:sz="0" w:space="0" w:color="auto"/>
        <w:left w:val="none" w:sz="0" w:space="0" w:color="auto"/>
        <w:bottom w:val="none" w:sz="0" w:space="0" w:color="auto"/>
        <w:right w:val="none" w:sz="0" w:space="0" w:color="auto"/>
      </w:divBdr>
    </w:div>
    <w:div w:id="240524587">
      <w:bodyDiv w:val="1"/>
      <w:marLeft w:val="0"/>
      <w:marRight w:val="0"/>
      <w:marTop w:val="0"/>
      <w:marBottom w:val="0"/>
      <w:divBdr>
        <w:top w:val="none" w:sz="0" w:space="0" w:color="auto"/>
        <w:left w:val="none" w:sz="0" w:space="0" w:color="auto"/>
        <w:bottom w:val="none" w:sz="0" w:space="0" w:color="auto"/>
        <w:right w:val="none" w:sz="0" w:space="0" w:color="auto"/>
      </w:divBdr>
    </w:div>
    <w:div w:id="260794256">
      <w:bodyDiv w:val="1"/>
      <w:marLeft w:val="0"/>
      <w:marRight w:val="0"/>
      <w:marTop w:val="0"/>
      <w:marBottom w:val="0"/>
      <w:divBdr>
        <w:top w:val="none" w:sz="0" w:space="0" w:color="auto"/>
        <w:left w:val="none" w:sz="0" w:space="0" w:color="auto"/>
        <w:bottom w:val="none" w:sz="0" w:space="0" w:color="auto"/>
        <w:right w:val="none" w:sz="0" w:space="0" w:color="auto"/>
      </w:divBdr>
    </w:div>
    <w:div w:id="285240137">
      <w:bodyDiv w:val="1"/>
      <w:marLeft w:val="0"/>
      <w:marRight w:val="0"/>
      <w:marTop w:val="0"/>
      <w:marBottom w:val="0"/>
      <w:divBdr>
        <w:top w:val="none" w:sz="0" w:space="0" w:color="auto"/>
        <w:left w:val="none" w:sz="0" w:space="0" w:color="auto"/>
        <w:bottom w:val="none" w:sz="0" w:space="0" w:color="auto"/>
        <w:right w:val="none" w:sz="0" w:space="0" w:color="auto"/>
      </w:divBdr>
    </w:div>
    <w:div w:id="329797544">
      <w:bodyDiv w:val="1"/>
      <w:marLeft w:val="0"/>
      <w:marRight w:val="0"/>
      <w:marTop w:val="0"/>
      <w:marBottom w:val="0"/>
      <w:divBdr>
        <w:top w:val="none" w:sz="0" w:space="0" w:color="auto"/>
        <w:left w:val="none" w:sz="0" w:space="0" w:color="auto"/>
        <w:bottom w:val="none" w:sz="0" w:space="0" w:color="auto"/>
        <w:right w:val="none" w:sz="0" w:space="0" w:color="auto"/>
      </w:divBdr>
    </w:div>
    <w:div w:id="332418995">
      <w:bodyDiv w:val="1"/>
      <w:marLeft w:val="0"/>
      <w:marRight w:val="0"/>
      <w:marTop w:val="0"/>
      <w:marBottom w:val="0"/>
      <w:divBdr>
        <w:top w:val="none" w:sz="0" w:space="0" w:color="auto"/>
        <w:left w:val="none" w:sz="0" w:space="0" w:color="auto"/>
        <w:bottom w:val="none" w:sz="0" w:space="0" w:color="auto"/>
        <w:right w:val="none" w:sz="0" w:space="0" w:color="auto"/>
      </w:divBdr>
    </w:div>
    <w:div w:id="337194584">
      <w:bodyDiv w:val="1"/>
      <w:marLeft w:val="0"/>
      <w:marRight w:val="0"/>
      <w:marTop w:val="0"/>
      <w:marBottom w:val="0"/>
      <w:divBdr>
        <w:top w:val="none" w:sz="0" w:space="0" w:color="auto"/>
        <w:left w:val="none" w:sz="0" w:space="0" w:color="auto"/>
        <w:bottom w:val="none" w:sz="0" w:space="0" w:color="auto"/>
        <w:right w:val="none" w:sz="0" w:space="0" w:color="auto"/>
      </w:divBdr>
    </w:div>
    <w:div w:id="340284196">
      <w:bodyDiv w:val="1"/>
      <w:marLeft w:val="0"/>
      <w:marRight w:val="0"/>
      <w:marTop w:val="0"/>
      <w:marBottom w:val="0"/>
      <w:divBdr>
        <w:top w:val="none" w:sz="0" w:space="0" w:color="auto"/>
        <w:left w:val="none" w:sz="0" w:space="0" w:color="auto"/>
        <w:bottom w:val="none" w:sz="0" w:space="0" w:color="auto"/>
        <w:right w:val="none" w:sz="0" w:space="0" w:color="auto"/>
      </w:divBdr>
    </w:div>
    <w:div w:id="420371434">
      <w:bodyDiv w:val="1"/>
      <w:marLeft w:val="0"/>
      <w:marRight w:val="0"/>
      <w:marTop w:val="0"/>
      <w:marBottom w:val="0"/>
      <w:divBdr>
        <w:top w:val="none" w:sz="0" w:space="0" w:color="auto"/>
        <w:left w:val="none" w:sz="0" w:space="0" w:color="auto"/>
        <w:bottom w:val="none" w:sz="0" w:space="0" w:color="auto"/>
        <w:right w:val="none" w:sz="0" w:space="0" w:color="auto"/>
      </w:divBdr>
    </w:div>
    <w:div w:id="425885280">
      <w:bodyDiv w:val="1"/>
      <w:marLeft w:val="0"/>
      <w:marRight w:val="0"/>
      <w:marTop w:val="0"/>
      <w:marBottom w:val="0"/>
      <w:divBdr>
        <w:top w:val="none" w:sz="0" w:space="0" w:color="auto"/>
        <w:left w:val="none" w:sz="0" w:space="0" w:color="auto"/>
        <w:bottom w:val="none" w:sz="0" w:space="0" w:color="auto"/>
        <w:right w:val="none" w:sz="0" w:space="0" w:color="auto"/>
      </w:divBdr>
    </w:div>
    <w:div w:id="498036984">
      <w:bodyDiv w:val="1"/>
      <w:marLeft w:val="0"/>
      <w:marRight w:val="0"/>
      <w:marTop w:val="0"/>
      <w:marBottom w:val="0"/>
      <w:divBdr>
        <w:top w:val="none" w:sz="0" w:space="0" w:color="auto"/>
        <w:left w:val="none" w:sz="0" w:space="0" w:color="auto"/>
        <w:bottom w:val="none" w:sz="0" w:space="0" w:color="auto"/>
        <w:right w:val="none" w:sz="0" w:space="0" w:color="auto"/>
      </w:divBdr>
    </w:div>
    <w:div w:id="528418202">
      <w:bodyDiv w:val="1"/>
      <w:marLeft w:val="0"/>
      <w:marRight w:val="0"/>
      <w:marTop w:val="0"/>
      <w:marBottom w:val="0"/>
      <w:divBdr>
        <w:top w:val="none" w:sz="0" w:space="0" w:color="auto"/>
        <w:left w:val="none" w:sz="0" w:space="0" w:color="auto"/>
        <w:bottom w:val="none" w:sz="0" w:space="0" w:color="auto"/>
        <w:right w:val="none" w:sz="0" w:space="0" w:color="auto"/>
      </w:divBdr>
    </w:div>
    <w:div w:id="602424686">
      <w:bodyDiv w:val="1"/>
      <w:marLeft w:val="0"/>
      <w:marRight w:val="0"/>
      <w:marTop w:val="0"/>
      <w:marBottom w:val="0"/>
      <w:divBdr>
        <w:top w:val="none" w:sz="0" w:space="0" w:color="auto"/>
        <w:left w:val="none" w:sz="0" w:space="0" w:color="auto"/>
        <w:bottom w:val="none" w:sz="0" w:space="0" w:color="auto"/>
        <w:right w:val="none" w:sz="0" w:space="0" w:color="auto"/>
      </w:divBdr>
    </w:div>
    <w:div w:id="634528516">
      <w:bodyDiv w:val="1"/>
      <w:marLeft w:val="0"/>
      <w:marRight w:val="0"/>
      <w:marTop w:val="0"/>
      <w:marBottom w:val="0"/>
      <w:divBdr>
        <w:top w:val="none" w:sz="0" w:space="0" w:color="auto"/>
        <w:left w:val="none" w:sz="0" w:space="0" w:color="auto"/>
        <w:bottom w:val="none" w:sz="0" w:space="0" w:color="auto"/>
        <w:right w:val="none" w:sz="0" w:space="0" w:color="auto"/>
      </w:divBdr>
    </w:div>
    <w:div w:id="671642255">
      <w:bodyDiv w:val="1"/>
      <w:marLeft w:val="0"/>
      <w:marRight w:val="0"/>
      <w:marTop w:val="0"/>
      <w:marBottom w:val="0"/>
      <w:divBdr>
        <w:top w:val="none" w:sz="0" w:space="0" w:color="auto"/>
        <w:left w:val="none" w:sz="0" w:space="0" w:color="auto"/>
        <w:bottom w:val="none" w:sz="0" w:space="0" w:color="auto"/>
        <w:right w:val="none" w:sz="0" w:space="0" w:color="auto"/>
      </w:divBdr>
    </w:div>
    <w:div w:id="768038062">
      <w:bodyDiv w:val="1"/>
      <w:marLeft w:val="0"/>
      <w:marRight w:val="0"/>
      <w:marTop w:val="0"/>
      <w:marBottom w:val="0"/>
      <w:divBdr>
        <w:top w:val="none" w:sz="0" w:space="0" w:color="auto"/>
        <w:left w:val="none" w:sz="0" w:space="0" w:color="auto"/>
        <w:bottom w:val="none" w:sz="0" w:space="0" w:color="auto"/>
        <w:right w:val="none" w:sz="0" w:space="0" w:color="auto"/>
      </w:divBdr>
    </w:div>
    <w:div w:id="845486889">
      <w:bodyDiv w:val="1"/>
      <w:marLeft w:val="0"/>
      <w:marRight w:val="0"/>
      <w:marTop w:val="0"/>
      <w:marBottom w:val="0"/>
      <w:divBdr>
        <w:top w:val="none" w:sz="0" w:space="0" w:color="auto"/>
        <w:left w:val="none" w:sz="0" w:space="0" w:color="auto"/>
        <w:bottom w:val="none" w:sz="0" w:space="0" w:color="auto"/>
        <w:right w:val="none" w:sz="0" w:space="0" w:color="auto"/>
      </w:divBdr>
    </w:div>
    <w:div w:id="900991388">
      <w:bodyDiv w:val="1"/>
      <w:marLeft w:val="0"/>
      <w:marRight w:val="0"/>
      <w:marTop w:val="0"/>
      <w:marBottom w:val="0"/>
      <w:divBdr>
        <w:top w:val="none" w:sz="0" w:space="0" w:color="auto"/>
        <w:left w:val="none" w:sz="0" w:space="0" w:color="auto"/>
        <w:bottom w:val="none" w:sz="0" w:space="0" w:color="auto"/>
        <w:right w:val="none" w:sz="0" w:space="0" w:color="auto"/>
      </w:divBdr>
    </w:div>
    <w:div w:id="961107939">
      <w:bodyDiv w:val="1"/>
      <w:marLeft w:val="0"/>
      <w:marRight w:val="0"/>
      <w:marTop w:val="0"/>
      <w:marBottom w:val="0"/>
      <w:divBdr>
        <w:top w:val="none" w:sz="0" w:space="0" w:color="auto"/>
        <w:left w:val="none" w:sz="0" w:space="0" w:color="auto"/>
        <w:bottom w:val="none" w:sz="0" w:space="0" w:color="auto"/>
        <w:right w:val="none" w:sz="0" w:space="0" w:color="auto"/>
      </w:divBdr>
    </w:div>
    <w:div w:id="1111432782">
      <w:bodyDiv w:val="1"/>
      <w:marLeft w:val="0"/>
      <w:marRight w:val="0"/>
      <w:marTop w:val="0"/>
      <w:marBottom w:val="0"/>
      <w:divBdr>
        <w:top w:val="none" w:sz="0" w:space="0" w:color="auto"/>
        <w:left w:val="none" w:sz="0" w:space="0" w:color="auto"/>
        <w:bottom w:val="none" w:sz="0" w:space="0" w:color="auto"/>
        <w:right w:val="none" w:sz="0" w:space="0" w:color="auto"/>
      </w:divBdr>
    </w:div>
    <w:div w:id="1145897323">
      <w:bodyDiv w:val="1"/>
      <w:marLeft w:val="0"/>
      <w:marRight w:val="0"/>
      <w:marTop w:val="0"/>
      <w:marBottom w:val="0"/>
      <w:divBdr>
        <w:top w:val="none" w:sz="0" w:space="0" w:color="auto"/>
        <w:left w:val="none" w:sz="0" w:space="0" w:color="auto"/>
        <w:bottom w:val="none" w:sz="0" w:space="0" w:color="auto"/>
        <w:right w:val="none" w:sz="0" w:space="0" w:color="auto"/>
      </w:divBdr>
    </w:div>
    <w:div w:id="1201556048">
      <w:bodyDiv w:val="1"/>
      <w:marLeft w:val="0"/>
      <w:marRight w:val="0"/>
      <w:marTop w:val="0"/>
      <w:marBottom w:val="0"/>
      <w:divBdr>
        <w:top w:val="none" w:sz="0" w:space="0" w:color="auto"/>
        <w:left w:val="none" w:sz="0" w:space="0" w:color="auto"/>
        <w:bottom w:val="none" w:sz="0" w:space="0" w:color="auto"/>
        <w:right w:val="none" w:sz="0" w:space="0" w:color="auto"/>
      </w:divBdr>
    </w:div>
    <w:div w:id="1276063914">
      <w:bodyDiv w:val="1"/>
      <w:marLeft w:val="0"/>
      <w:marRight w:val="0"/>
      <w:marTop w:val="0"/>
      <w:marBottom w:val="0"/>
      <w:divBdr>
        <w:top w:val="none" w:sz="0" w:space="0" w:color="auto"/>
        <w:left w:val="none" w:sz="0" w:space="0" w:color="auto"/>
        <w:bottom w:val="none" w:sz="0" w:space="0" w:color="auto"/>
        <w:right w:val="none" w:sz="0" w:space="0" w:color="auto"/>
      </w:divBdr>
    </w:div>
    <w:div w:id="1350182968">
      <w:bodyDiv w:val="1"/>
      <w:marLeft w:val="0"/>
      <w:marRight w:val="0"/>
      <w:marTop w:val="0"/>
      <w:marBottom w:val="0"/>
      <w:divBdr>
        <w:top w:val="none" w:sz="0" w:space="0" w:color="auto"/>
        <w:left w:val="none" w:sz="0" w:space="0" w:color="auto"/>
        <w:bottom w:val="none" w:sz="0" w:space="0" w:color="auto"/>
        <w:right w:val="none" w:sz="0" w:space="0" w:color="auto"/>
      </w:divBdr>
    </w:div>
    <w:div w:id="1419983022">
      <w:bodyDiv w:val="1"/>
      <w:marLeft w:val="0"/>
      <w:marRight w:val="0"/>
      <w:marTop w:val="0"/>
      <w:marBottom w:val="0"/>
      <w:divBdr>
        <w:top w:val="none" w:sz="0" w:space="0" w:color="auto"/>
        <w:left w:val="none" w:sz="0" w:space="0" w:color="auto"/>
        <w:bottom w:val="none" w:sz="0" w:space="0" w:color="auto"/>
        <w:right w:val="none" w:sz="0" w:space="0" w:color="auto"/>
      </w:divBdr>
    </w:div>
    <w:div w:id="1509829806">
      <w:bodyDiv w:val="1"/>
      <w:marLeft w:val="0"/>
      <w:marRight w:val="0"/>
      <w:marTop w:val="0"/>
      <w:marBottom w:val="0"/>
      <w:divBdr>
        <w:top w:val="none" w:sz="0" w:space="0" w:color="auto"/>
        <w:left w:val="none" w:sz="0" w:space="0" w:color="auto"/>
        <w:bottom w:val="none" w:sz="0" w:space="0" w:color="auto"/>
        <w:right w:val="none" w:sz="0" w:space="0" w:color="auto"/>
      </w:divBdr>
    </w:div>
    <w:div w:id="1520729116">
      <w:bodyDiv w:val="1"/>
      <w:marLeft w:val="0"/>
      <w:marRight w:val="0"/>
      <w:marTop w:val="0"/>
      <w:marBottom w:val="0"/>
      <w:divBdr>
        <w:top w:val="none" w:sz="0" w:space="0" w:color="auto"/>
        <w:left w:val="none" w:sz="0" w:space="0" w:color="auto"/>
        <w:bottom w:val="none" w:sz="0" w:space="0" w:color="auto"/>
        <w:right w:val="none" w:sz="0" w:space="0" w:color="auto"/>
      </w:divBdr>
    </w:div>
    <w:div w:id="1547763847">
      <w:bodyDiv w:val="1"/>
      <w:marLeft w:val="0"/>
      <w:marRight w:val="0"/>
      <w:marTop w:val="0"/>
      <w:marBottom w:val="0"/>
      <w:divBdr>
        <w:top w:val="none" w:sz="0" w:space="0" w:color="auto"/>
        <w:left w:val="none" w:sz="0" w:space="0" w:color="auto"/>
        <w:bottom w:val="none" w:sz="0" w:space="0" w:color="auto"/>
        <w:right w:val="none" w:sz="0" w:space="0" w:color="auto"/>
      </w:divBdr>
    </w:div>
    <w:div w:id="1617830806">
      <w:bodyDiv w:val="1"/>
      <w:marLeft w:val="0"/>
      <w:marRight w:val="0"/>
      <w:marTop w:val="0"/>
      <w:marBottom w:val="0"/>
      <w:divBdr>
        <w:top w:val="none" w:sz="0" w:space="0" w:color="auto"/>
        <w:left w:val="none" w:sz="0" w:space="0" w:color="auto"/>
        <w:bottom w:val="none" w:sz="0" w:space="0" w:color="auto"/>
        <w:right w:val="none" w:sz="0" w:space="0" w:color="auto"/>
      </w:divBdr>
    </w:div>
    <w:div w:id="1646203328">
      <w:bodyDiv w:val="1"/>
      <w:marLeft w:val="0"/>
      <w:marRight w:val="0"/>
      <w:marTop w:val="0"/>
      <w:marBottom w:val="0"/>
      <w:divBdr>
        <w:top w:val="none" w:sz="0" w:space="0" w:color="auto"/>
        <w:left w:val="none" w:sz="0" w:space="0" w:color="auto"/>
        <w:bottom w:val="none" w:sz="0" w:space="0" w:color="auto"/>
        <w:right w:val="none" w:sz="0" w:space="0" w:color="auto"/>
      </w:divBdr>
    </w:div>
    <w:div w:id="1677540843">
      <w:bodyDiv w:val="1"/>
      <w:marLeft w:val="0"/>
      <w:marRight w:val="0"/>
      <w:marTop w:val="0"/>
      <w:marBottom w:val="0"/>
      <w:divBdr>
        <w:top w:val="none" w:sz="0" w:space="0" w:color="auto"/>
        <w:left w:val="none" w:sz="0" w:space="0" w:color="auto"/>
        <w:bottom w:val="none" w:sz="0" w:space="0" w:color="auto"/>
        <w:right w:val="none" w:sz="0" w:space="0" w:color="auto"/>
      </w:divBdr>
    </w:div>
    <w:div w:id="1683043527">
      <w:bodyDiv w:val="1"/>
      <w:marLeft w:val="0"/>
      <w:marRight w:val="0"/>
      <w:marTop w:val="0"/>
      <w:marBottom w:val="0"/>
      <w:divBdr>
        <w:top w:val="none" w:sz="0" w:space="0" w:color="auto"/>
        <w:left w:val="none" w:sz="0" w:space="0" w:color="auto"/>
        <w:bottom w:val="none" w:sz="0" w:space="0" w:color="auto"/>
        <w:right w:val="none" w:sz="0" w:space="0" w:color="auto"/>
      </w:divBdr>
    </w:div>
    <w:div w:id="1691225305">
      <w:bodyDiv w:val="1"/>
      <w:marLeft w:val="0"/>
      <w:marRight w:val="0"/>
      <w:marTop w:val="0"/>
      <w:marBottom w:val="0"/>
      <w:divBdr>
        <w:top w:val="none" w:sz="0" w:space="0" w:color="auto"/>
        <w:left w:val="none" w:sz="0" w:space="0" w:color="auto"/>
        <w:bottom w:val="none" w:sz="0" w:space="0" w:color="auto"/>
        <w:right w:val="none" w:sz="0" w:space="0" w:color="auto"/>
      </w:divBdr>
    </w:div>
    <w:div w:id="1830628890">
      <w:bodyDiv w:val="1"/>
      <w:marLeft w:val="0"/>
      <w:marRight w:val="0"/>
      <w:marTop w:val="0"/>
      <w:marBottom w:val="0"/>
      <w:divBdr>
        <w:top w:val="none" w:sz="0" w:space="0" w:color="auto"/>
        <w:left w:val="none" w:sz="0" w:space="0" w:color="auto"/>
        <w:bottom w:val="none" w:sz="0" w:space="0" w:color="auto"/>
        <w:right w:val="none" w:sz="0" w:space="0" w:color="auto"/>
      </w:divBdr>
    </w:div>
    <w:div w:id="1940335253">
      <w:bodyDiv w:val="1"/>
      <w:marLeft w:val="0"/>
      <w:marRight w:val="0"/>
      <w:marTop w:val="0"/>
      <w:marBottom w:val="0"/>
      <w:divBdr>
        <w:top w:val="none" w:sz="0" w:space="0" w:color="auto"/>
        <w:left w:val="none" w:sz="0" w:space="0" w:color="auto"/>
        <w:bottom w:val="none" w:sz="0" w:space="0" w:color="auto"/>
        <w:right w:val="none" w:sz="0" w:space="0" w:color="auto"/>
      </w:divBdr>
    </w:div>
    <w:div w:id="1990478069">
      <w:bodyDiv w:val="1"/>
      <w:marLeft w:val="0"/>
      <w:marRight w:val="0"/>
      <w:marTop w:val="0"/>
      <w:marBottom w:val="0"/>
      <w:divBdr>
        <w:top w:val="none" w:sz="0" w:space="0" w:color="auto"/>
        <w:left w:val="none" w:sz="0" w:space="0" w:color="auto"/>
        <w:bottom w:val="none" w:sz="0" w:space="0" w:color="auto"/>
        <w:right w:val="none" w:sz="0" w:space="0" w:color="auto"/>
      </w:divBdr>
    </w:div>
    <w:div w:id="2101632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ayQztAtiNdANEF9ktuzTP2CIw==">AMUW2mVakl/ej+Mbpj7uyRG/1mWlCByKpOolOC83w6oBeL4AqHMpSBVIyW4K+PxY+7e0abP8kxC8hKlYK89latT6l91iRs0p/x/Q3AhvIbfL/vDpaZsjFYBgbeTPvQ7z4/pRcXeLLdOo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924FB7-0D14-4AB7-8B87-D5DDD5A0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Giang Vũ</dc:creator>
  <cp:lastModifiedBy>Microsoft Office User</cp:lastModifiedBy>
  <cp:revision>8</cp:revision>
  <dcterms:created xsi:type="dcterms:W3CDTF">2023-11-22T09:09:00Z</dcterms:created>
  <dcterms:modified xsi:type="dcterms:W3CDTF">2026-01-22T04:29:00Z</dcterms:modified>
</cp:coreProperties>
</file>